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FC2FD" w14:textId="77777777" w:rsidR="001A2D37" w:rsidRPr="001F05D8" w:rsidRDefault="001A2D37" w:rsidP="007061AD">
      <w:pPr>
        <w:pStyle w:val="Brdtekst"/>
        <w:rPr>
          <w:szCs w:val="22"/>
        </w:rPr>
      </w:pPr>
    </w:p>
    <w:p w14:paraId="2A58136B" w14:textId="77777777" w:rsidR="00C7345A" w:rsidRPr="000D4513" w:rsidRDefault="00C7345A" w:rsidP="009F3CE1">
      <w:pPr>
        <w:pStyle w:val="Brdtekst"/>
        <w:jc w:val="center"/>
        <w:rPr>
          <w:b/>
          <w:color w:val="FF0000"/>
          <w:szCs w:val="22"/>
        </w:rPr>
      </w:pPr>
      <w:r w:rsidRPr="000D4513">
        <w:rPr>
          <w:b/>
          <w:color w:val="FF0000"/>
          <w:szCs w:val="22"/>
        </w:rPr>
        <w:t>UDKAST</w:t>
      </w:r>
    </w:p>
    <w:p w14:paraId="0FEDA97F" w14:textId="77777777" w:rsidR="00C7345A" w:rsidRPr="000D4513" w:rsidRDefault="00C7345A" w:rsidP="007061AD">
      <w:pPr>
        <w:pStyle w:val="Brdtekst"/>
        <w:rPr>
          <w:szCs w:val="22"/>
        </w:rPr>
      </w:pPr>
    </w:p>
    <w:p w14:paraId="2B8C1467" w14:textId="77777777" w:rsidR="00C7345A" w:rsidRPr="000D4513" w:rsidRDefault="00C7345A" w:rsidP="007061AD">
      <w:pPr>
        <w:pStyle w:val="Brdtekst"/>
        <w:rPr>
          <w:szCs w:val="22"/>
        </w:rPr>
      </w:pPr>
    </w:p>
    <w:p w14:paraId="37F76DCA" w14:textId="77777777" w:rsidR="00C7345A" w:rsidRPr="000D4513" w:rsidRDefault="00C7345A" w:rsidP="007061AD">
      <w:pPr>
        <w:pStyle w:val="Brdtekst"/>
        <w:rPr>
          <w:szCs w:val="22"/>
        </w:rPr>
      </w:pPr>
    </w:p>
    <w:p w14:paraId="2A3BA4F8" w14:textId="77777777" w:rsidR="00C7345A" w:rsidRPr="000D4513" w:rsidRDefault="009D0079" w:rsidP="009F3CE1">
      <w:pPr>
        <w:pStyle w:val="Brdtekst"/>
        <w:jc w:val="center"/>
        <w:rPr>
          <w:b/>
          <w:szCs w:val="22"/>
        </w:rPr>
      </w:pPr>
      <w:r w:rsidRPr="000D4513">
        <w:rPr>
          <w:b/>
          <w:szCs w:val="22"/>
        </w:rPr>
        <w:t>R</w:t>
      </w:r>
      <w:r w:rsidR="004E3139" w:rsidRPr="000D4513">
        <w:rPr>
          <w:b/>
          <w:szCs w:val="22"/>
        </w:rPr>
        <w:t>EDEGØRELSE</w:t>
      </w:r>
    </w:p>
    <w:p w14:paraId="4D34759D" w14:textId="77777777" w:rsidR="009D0079" w:rsidRPr="000D4513" w:rsidRDefault="009D0079" w:rsidP="009F3CE1">
      <w:pPr>
        <w:pStyle w:val="Brdtekst"/>
        <w:jc w:val="center"/>
        <w:rPr>
          <w:szCs w:val="22"/>
        </w:rPr>
      </w:pPr>
    </w:p>
    <w:p w14:paraId="7090F8BA" w14:textId="77777777" w:rsidR="00C7345A" w:rsidRPr="000D4513" w:rsidRDefault="009D0079" w:rsidP="009F3CE1">
      <w:pPr>
        <w:pStyle w:val="Brdtekst"/>
        <w:jc w:val="center"/>
        <w:rPr>
          <w:b/>
          <w:szCs w:val="22"/>
        </w:rPr>
      </w:pPr>
      <w:r w:rsidRPr="000D4513">
        <w:rPr>
          <w:b/>
          <w:szCs w:val="22"/>
        </w:rPr>
        <w:t>om</w:t>
      </w:r>
    </w:p>
    <w:p w14:paraId="04A2D89B" w14:textId="77777777" w:rsidR="009D0079" w:rsidRPr="000D4513" w:rsidRDefault="009D0079" w:rsidP="009F3CE1">
      <w:pPr>
        <w:pStyle w:val="Brdtekst"/>
        <w:jc w:val="center"/>
        <w:rPr>
          <w:b/>
          <w:szCs w:val="22"/>
        </w:rPr>
      </w:pPr>
    </w:p>
    <w:p w14:paraId="765C6E79" w14:textId="77777777" w:rsidR="00C7345A" w:rsidRPr="000D4513" w:rsidRDefault="00C7345A" w:rsidP="009F3CE1">
      <w:pPr>
        <w:pStyle w:val="Brdtekst"/>
        <w:jc w:val="center"/>
        <w:rPr>
          <w:b/>
          <w:szCs w:val="22"/>
        </w:rPr>
      </w:pPr>
      <w:r w:rsidRPr="000D4513">
        <w:rPr>
          <w:b/>
          <w:szCs w:val="22"/>
        </w:rPr>
        <w:t>lovovervågning af lov nr. 311 af 4. april 2017 om ændring af lov om elevers og studerendes undervisningsmiljø og lov om folkeskolen</w:t>
      </w:r>
      <w:r w:rsidR="00241A45" w:rsidRPr="000D4513">
        <w:rPr>
          <w:b/>
          <w:szCs w:val="22"/>
        </w:rPr>
        <w:t xml:space="preserve"> </w:t>
      </w:r>
      <w:r w:rsidRPr="000D4513">
        <w:rPr>
          <w:b/>
          <w:szCs w:val="22"/>
        </w:rPr>
        <w:t>(Krav om antimobbestrategi, handlingsplan ved problemer med det psykiske undervisningsmiljø, oprettelse af klageinstans, tilsyn, genindførelse af kommunalbestyrelsens behandling af skolelederens beslutninger m.v.)</w:t>
      </w:r>
    </w:p>
    <w:p w14:paraId="530712B0" w14:textId="77777777" w:rsidR="001E74E5" w:rsidRPr="000D4513" w:rsidRDefault="001E74E5" w:rsidP="009F3CE1">
      <w:pPr>
        <w:pStyle w:val="Brdtekst"/>
        <w:jc w:val="center"/>
        <w:rPr>
          <w:rFonts w:eastAsiaTheme="minorHAnsi" w:cstheme="minorBidi"/>
          <w:b/>
          <w:bCs/>
          <w:szCs w:val="22"/>
          <w:lang w:eastAsia="en-US"/>
        </w:rPr>
      </w:pPr>
    </w:p>
    <w:p w14:paraId="5164D828" w14:textId="77777777" w:rsidR="00241A45" w:rsidRPr="000D4513" w:rsidRDefault="00241A45" w:rsidP="007061AD">
      <w:pPr>
        <w:pStyle w:val="Brdtekst"/>
        <w:rPr>
          <w:rFonts w:eastAsiaTheme="minorHAnsi" w:cstheme="minorBidi"/>
          <w:b/>
          <w:bCs/>
          <w:szCs w:val="22"/>
          <w:lang w:eastAsia="en-US"/>
        </w:rPr>
      </w:pPr>
      <w:bookmarkStart w:id="0" w:name="_GoBack"/>
      <w:bookmarkEnd w:id="0"/>
    </w:p>
    <w:p w14:paraId="24C557CA" w14:textId="77777777" w:rsidR="00241A45" w:rsidRPr="000D4513" w:rsidRDefault="00241A45" w:rsidP="007061AD">
      <w:pPr>
        <w:pStyle w:val="Brdtekst"/>
        <w:rPr>
          <w:rFonts w:eastAsiaTheme="minorHAnsi" w:cstheme="minorBidi"/>
          <w:b/>
          <w:bCs/>
          <w:szCs w:val="22"/>
          <w:lang w:eastAsia="en-US"/>
        </w:rPr>
      </w:pPr>
    </w:p>
    <w:p w14:paraId="41C5B161" w14:textId="77777777" w:rsidR="00B27E14" w:rsidRPr="000D4513" w:rsidRDefault="00B27E14" w:rsidP="007061AD">
      <w:pPr>
        <w:pStyle w:val="Brdtekst"/>
        <w:rPr>
          <w:rFonts w:eastAsiaTheme="minorHAnsi" w:cstheme="minorBidi"/>
          <w:b/>
          <w:bCs/>
          <w:szCs w:val="22"/>
          <w:lang w:eastAsia="en-US"/>
        </w:rPr>
      </w:pPr>
      <w:r w:rsidRPr="000D4513">
        <w:rPr>
          <w:rFonts w:eastAsiaTheme="minorHAnsi" w:cstheme="minorBidi"/>
          <w:b/>
          <w:bCs/>
          <w:szCs w:val="22"/>
          <w:lang w:eastAsia="en-US"/>
        </w:rPr>
        <w:t>Indhold</w:t>
      </w:r>
    </w:p>
    <w:p w14:paraId="59EB877F" w14:textId="3D9ACAE4" w:rsidR="002C25F6" w:rsidRDefault="007C4F82">
      <w:pPr>
        <w:pStyle w:val="Indholdsfortegnelse1"/>
        <w:tabs>
          <w:tab w:val="left" w:pos="480"/>
          <w:tab w:val="right" w:leader="dot" w:pos="6792"/>
        </w:tabs>
        <w:rPr>
          <w:rFonts w:eastAsiaTheme="minorEastAsia"/>
          <w:bCs w:val="0"/>
          <w:noProof/>
          <w:szCs w:val="22"/>
          <w:lang w:eastAsia="da-DK"/>
        </w:rPr>
      </w:pPr>
      <w:r w:rsidRPr="000D4513">
        <w:rPr>
          <w:rFonts w:ascii="Garamond" w:hAnsi="Garamond"/>
          <w:bCs w:val="0"/>
          <w:caps/>
          <w:szCs w:val="22"/>
        </w:rPr>
        <w:fldChar w:fldCharType="begin"/>
      </w:r>
      <w:r w:rsidRPr="000D4513">
        <w:rPr>
          <w:rFonts w:ascii="Garamond" w:hAnsi="Garamond"/>
          <w:bCs w:val="0"/>
          <w:caps/>
          <w:szCs w:val="22"/>
        </w:rPr>
        <w:instrText xml:space="preserve"> TOC \o "1-3" \h \z \u </w:instrText>
      </w:r>
      <w:r w:rsidRPr="000D4513">
        <w:rPr>
          <w:rFonts w:ascii="Garamond" w:hAnsi="Garamond"/>
          <w:bCs w:val="0"/>
          <w:caps/>
          <w:szCs w:val="22"/>
        </w:rPr>
        <w:fldChar w:fldCharType="separate"/>
      </w:r>
      <w:hyperlink w:anchor="_Toc54877171" w:history="1">
        <w:r w:rsidR="002C25F6" w:rsidRPr="00C25F31">
          <w:rPr>
            <w:rStyle w:val="Hyperlink"/>
            <w:noProof/>
          </w:rPr>
          <w:t>1.</w:t>
        </w:r>
        <w:r w:rsidR="002C25F6">
          <w:rPr>
            <w:rFonts w:eastAsiaTheme="minorEastAsia"/>
            <w:bCs w:val="0"/>
            <w:noProof/>
            <w:szCs w:val="22"/>
            <w:lang w:eastAsia="da-DK"/>
          </w:rPr>
          <w:tab/>
        </w:r>
        <w:r w:rsidR="002C25F6" w:rsidRPr="00C25F31">
          <w:rPr>
            <w:rStyle w:val="Hyperlink"/>
            <w:noProof/>
          </w:rPr>
          <w:t>Sammenfatning</w:t>
        </w:r>
        <w:r w:rsidR="002C25F6">
          <w:rPr>
            <w:noProof/>
            <w:webHidden/>
          </w:rPr>
          <w:tab/>
        </w:r>
        <w:r w:rsidR="002C25F6">
          <w:rPr>
            <w:noProof/>
            <w:webHidden/>
          </w:rPr>
          <w:fldChar w:fldCharType="begin"/>
        </w:r>
        <w:r w:rsidR="002C25F6">
          <w:rPr>
            <w:noProof/>
            <w:webHidden/>
          </w:rPr>
          <w:instrText xml:space="preserve"> PAGEREF _Toc54877171 \h </w:instrText>
        </w:r>
        <w:r w:rsidR="002C25F6">
          <w:rPr>
            <w:noProof/>
            <w:webHidden/>
          </w:rPr>
        </w:r>
        <w:r w:rsidR="002C25F6">
          <w:rPr>
            <w:noProof/>
            <w:webHidden/>
          </w:rPr>
          <w:fldChar w:fldCharType="separate"/>
        </w:r>
        <w:r w:rsidR="002C25F6">
          <w:rPr>
            <w:noProof/>
            <w:webHidden/>
          </w:rPr>
          <w:t>1</w:t>
        </w:r>
        <w:r w:rsidR="002C25F6">
          <w:rPr>
            <w:noProof/>
            <w:webHidden/>
          </w:rPr>
          <w:fldChar w:fldCharType="end"/>
        </w:r>
      </w:hyperlink>
    </w:p>
    <w:p w14:paraId="3BBA06AD" w14:textId="5DBA2617" w:rsidR="002C25F6" w:rsidRDefault="006C4A65">
      <w:pPr>
        <w:pStyle w:val="Indholdsfortegnelse1"/>
        <w:tabs>
          <w:tab w:val="left" w:pos="480"/>
          <w:tab w:val="right" w:leader="dot" w:pos="6792"/>
        </w:tabs>
        <w:rPr>
          <w:rFonts w:eastAsiaTheme="minorEastAsia"/>
          <w:bCs w:val="0"/>
          <w:noProof/>
          <w:szCs w:val="22"/>
          <w:lang w:eastAsia="da-DK"/>
        </w:rPr>
      </w:pPr>
      <w:hyperlink w:anchor="_Toc54877172" w:history="1">
        <w:r w:rsidR="002C25F6" w:rsidRPr="00C25F31">
          <w:rPr>
            <w:rStyle w:val="Hyperlink"/>
            <w:noProof/>
          </w:rPr>
          <w:t>2.</w:t>
        </w:r>
        <w:r w:rsidR="002C25F6">
          <w:rPr>
            <w:rFonts w:eastAsiaTheme="minorEastAsia"/>
            <w:bCs w:val="0"/>
            <w:noProof/>
            <w:szCs w:val="22"/>
            <w:lang w:eastAsia="da-DK"/>
          </w:rPr>
          <w:tab/>
        </w:r>
        <w:r w:rsidR="002C25F6" w:rsidRPr="00C25F31">
          <w:rPr>
            <w:rStyle w:val="Hyperlink"/>
            <w:noProof/>
          </w:rPr>
          <w:t>Baggrunden for og indholdet af lov nr. 311 af 4. april 2017</w:t>
        </w:r>
        <w:r w:rsidR="002C25F6">
          <w:rPr>
            <w:noProof/>
            <w:webHidden/>
          </w:rPr>
          <w:tab/>
        </w:r>
        <w:r w:rsidR="002C25F6">
          <w:rPr>
            <w:noProof/>
            <w:webHidden/>
          </w:rPr>
          <w:fldChar w:fldCharType="begin"/>
        </w:r>
        <w:r w:rsidR="002C25F6">
          <w:rPr>
            <w:noProof/>
            <w:webHidden/>
          </w:rPr>
          <w:instrText xml:space="preserve"> PAGEREF _Toc54877172 \h </w:instrText>
        </w:r>
        <w:r w:rsidR="002C25F6">
          <w:rPr>
            <w:noProof/>
            <w:webHidden/>
          </w:rPr>
        </w:r>
        <w:r w:rsidR="002C25F6">
          <w:rPr>
            <w:noProof/>
            <w:webHidden/>
          </w:rPr>
          <w:fldChar w:fldCharType="separate"/>
        </w:r>
        <w:r w:rsidR="002C25F6">
          <w:rPr>
            <w:noProof/>
            <w:webHidden/>
          </w:rPr>
          <w:t>2</w:t>
        </w:r>
        <w:r w:rsidR="002C25F6">
          <w:rPr>
            <w:noProof/>
            <w:webHidden/>
          </w:rPr>
          <w:fldChar w:fldCharType="end"/>
        </w:r>
      </w:hyperlink>
    </w:p>
    <w:p w14:paraId="6A9EF822" w14:textId="630A2DBC" w:rsidR="002C25F6" w:rsidRDefault="006C4A65">
      <w:pPr>
        <w:pStyle w:val="Indholdsfortegnelse2"/>
        <w:tabs>
          <w:tab w:val="left" w:pos="720"/>
          <w:tab w:val="right" w:leader="dot" w:pos="6792"/>
        </w:tabs>
        <w:rPr>
          <w:rFonts w:eastAsiaTheme="minorEastAsia"/>
          <w:iCs w:val="0"/>
          <w:noProof/>
          <w:szCs w:val="22"/>
          <w:lang w:eastAsia="da-DK"/>
        </w:rPr>
      </w:pPr>
      <w:hyperlink w:anchor="_Toc54877173" w:history="1">
        <w:r w:rsidR="002C25F6" w:rsidRPr="00C25F31">
          <w:rPr>
            <w:rStyle w:val="Hyperlink"/>
            <w:noProof/>
          </w:rPr>
          <w:t>2.1</w:t>
        </w:r>
        <w:r w:rsidR="002C25F6">
          <w:rPr>
            <w:rFonts w:eastAsiaTheme="minorEastAsia"/>
            <w:iCs w:val="0"/>
            <w:noProof/>
            <w:szCs w:val="22"/>
            <w:lang w:eastAsia="da-DK"/>
          </w:rPr>
          <w:tab/>
        </w:r>
        <w:r w:rsidR="002C25F6" w:rsidRPr="00C25F31">
          <w:rPr>
            <w:rStyle w:val="Hyperlink"/>
            <w:noProof/>
          </w:rPr>
          <w:t>Bestemmelserne vedrørende antimobning</w:t>
        </w:r>
        <w:r w:rsidR="002C25F6">
          <w:rPr>
            <w:noProof/>
            <w:webHidden/>
          </w:rPr>
          <w:tab/>
        </w:r>
        <w:r w:rsidR="002C25F6">
          <w:rPr>
            <w:noProof/>
            <w:webHidden/>
          </w:rPr>
          <w:fldChar w:fldCharType="begin"/>
        </w:r>
        <w:r w:rsidR="002C25F6">
          <w:rPr>
            <w:noProof/>
            <w:webHidden/>
          </w:rPr>
          <w:instrText xml:space="preserve"> PAGEREF _Toc54877173 \h </w:instrText>
        </w:r>
        <w:r w:rsidR="002C25F6">
          <w:rPr>
            <w:noProof/>
            <w:webHidden/>
          </w:rPr>
        </w:r>
        <w:r w:rsidR="002C25F6">
          <w:rPr>
            <w:noProof/>
            <w:webHidden/>
          </w:rPr>
          <w:fldChar w:fldCharType="separate"/>
        </w:r>
        <w:r w:rsidR="002C25F6">
          <w:rPr>
            <w:noProof/>
            <w:webHidden/>
          </w:rPr>
          <w:t>3</w:t>
        </w:r>
        <w:r w:rsidR="002C25F6">
          <w:rPr>
            <w:noProof/>
            <w:webHidden/>
          </w:rPr>
          <w:fldChar w:fldCharType="end"/>
        </w:r>
      </w:hyperlink>
    </w:p>
    <w:p w14:paraId="6FA20FA8" w14:textId="5C17F6D8" w:rsidR="002C25F6" w:rsidRDefault="006C4A65">
      <w:pPr>
        <w:pStyle w:val="Indholdsfortegnelse2"/>
        <w:tabs>
          <w:tab w:val="left" w:pos="720"/>
          <w:tab w:val="right" w:leader="dot" w:pos="6792"/>
        </w:tabs>
        <w:rPr>
          <w:rFonts w:eastAsiaTheme="minorEastAsia"/>
          <w:iCs w:val="0"/>
          <w:noProof/>
          <w:szCs w:val="22"/>
          <w:lang w:eastAsia="da-DK"/>
        </w:rPr>
      </w:pPr>
      <w:hyperlink w:anchor="_Toc54877174" w:history="1">
        <w:r w:rsidR="002C25F6" w:rsidRPr="00C25F31">
          <w:rPr>
            <w:rStyle w:val="Hyperlink"/>
            <w:noProof/>
          </w:rPr>
          <w:t>2.2</w:t>
        </w:r>
        <w:r w:rsidR="002C25F6">
          <w:rPr>
            <w:rFonts w:eastAsiaTheme="minorEastAsia"/>
            <w:iCs w:val="0"/>
            <w:noProof/>
            <w:szCs w:val="22"/>
            <w:lang w:eastAsia="da-DK"/>
          </w:rPr>
          <w:tab/>
        </w:r>
        <w:r w:rsidR="002C25F6" w:rsidRPr="00C25F31">
          <w:rPr>
            <w:rStyle w:val="Hyperlink"/>
            <w:noProof/>
          </w:rPr>
          <w:t>Klageordning</w:t>
        </w:r>
        <w:r w:rsidR="002C25F6">
          <w:rPr>
            <w:noProof/>
            <w:webHidden/>
          </w:rPr>
          <w:tab/>
        </w:r>
        <w:r w:rsidR="002C25F6">
          <w:rPr>
            <w:noProof/>
            <w:webHidden/>
          </w:rPr>
          <w:fldChar w:fldCharType="begin"/>
        </w:r>
        <w:r w:rsidR="002C25F6">
          <w:rPr>
            <w:noProof/>
            <w:webHidden/>
          </w:rPr>
          <w:instrText xml:space="preserve"> PAGEREF _Toc54877174 \h </w:instrText>
        </w:r>
        <w:r w:rsidR="002C25F6">
          <w:rPr>
            <w:noProof/>
            <w:webHidden/>
          </w:rPr>
        </w:r>
        <w:r w:rsidR="002C25F6">
          <w:rPr>
            <w:noProof/>
            <w:webHidden/>
          </w:rPr>
          <w:fldChar w:fldCharType="separate"/>
        </w:r>
        <w:r w:rsidR="002C25F6">
          <w:rPr>
            <w:noProof/>
            <w:webHidden/>
          </w:rPr>
          <w:t>4</w:t>
        </w:r>
        <w:r w:rsidR="002C25F6">
          <w:rPr>
            <w:noProof/>
            <w:webHidden/>
          </w:rPr>
          <w:fldChar w:fldCharType="end"/>
        </w:r>
      </w:hyperlink>
    </w:p>
    <w:p w14:paraId="373FA208" w14:textId="4721FB10" w:rsidR="002C25F6" w:rsidRDefault="006C4A65">
      <w:pPr>
        <w:pStyle w:val="Indholdsfortegnelse2"/>
        <w:tabs>
          <w:tab w:val="left" w:pos="720"/>
          <w:tab w:val="right" w:leader="dot" w:pos="6792"/>
        </w:tabs>
        <w:rPr>
          <w:rFonts w:eastAsiaTheme="minorEastAsia"/>
          <w:iCs w:val="0"/>
          <w:noProof/>
          <w:szCs w:val="22"/>
          <w:lang w:eastAsia="da-DK"/>
        </w:rPr>
      </w:pPr>
      <w:hyperlink w:anchor="_Toc54877175" w:history="1">
        <w:r w:rsidR="002C25F6" w:rsidRPr="00C25F31">
          <w:rPr>
            <w:rStyle w:val="Hyperlink"/>
            <w:noProof/>
          </w:rPr>
          <w:t>2.3</w:t>
        </w:r>
        <w:r w:rsidR="002C25F6">
          <w:rPr>
            <w:rFonts w:eastAsiaTheme="minorEastAsia"/>
            <w:iCs w:val="0"/>
            <w:noProof/>
            <w:szCs w:val="22"/>
            <w:lang w:eastAsia="da-DK"/>
          </w:rPr>
          <w:tab/>
        </w:r>
        <w:r w:rsidR="002C25F6" w:rsidRPr="00C25F31">
          <w:rPr>
            <w:rStyle w:val="Hyperlink"/>
            <w:noProof/>
          </w:rPr>
          <w:t>Tilsyn</w:t>
        </w:r>
        <w:r w:rsidR="002C25F6">
          <w:rPr>
            <w:noProof/>
            <w:webHidden/>
          </w:rPr>
          <w:tab/>
        </w:r>
        <w:r w:rsidR="002C25F6">
          <w:rPr>
            <w:noProof/>
            <w:webHidden/>
          </w:rPr>
          <w:fldChar w:fldCharType="begin"/>
        </w:r>
        <w:r w:rsidR="002C25F6">
          <w:rPr>
            <w:noProof/>
            <w:webHidden/>
          </w:rPr>
          <w:instrText xml:space="preserve"> PAGEREF _Toc54877175 \h </w:instrText>
        </w:r>
        <w:r w:rsidR="002C25F6">
          <w:rPr>
            <w:noProof/>
            <w:webHidden/>
          </w:rPr>
        </w:r>
        <w:r w:rsidR="002C25F6">
          <w:rPr>
            <w:noProof/>
            <w:webHidden/>
          </w:rPr>
          <w:fldChar w:fldCharType="separate"/>
        </w:r>
        <w:r w:rsidR="002C25F6">
          <w:rPr>
            <w:noProof/>
            <w:webHidden/>
          </w:rPr>
          <w:t>5</w:t>
        </w:r>
        <w:r w:rsidR="002C25F6">
          <w:rPr>
            <w:noProof/>
            <w:webHidden/>
          </w:rPr>
          <w:fldChar w:fldCharType="end"/>
        </w:r>
      </w:hyperlink>
    </w:p>
    <w:p w14:paraId="1F37EC71" w14:textId="0E567C5D" w:rsidR="002C25F6" w:rsidRDefault="006C4A65">
      <w:pPr>
        <w:pStyle w:val="Indholdsfortegnelse1"/>
        <w:tabs>
          <w:tab w:val="left" w:pos="480"/>
          <w:tab w:val="right" w:leader="dot" w:pos="6792"/>
        </w:tabs>
        <w:rPr>
          <w:rFonts w:eastAsiaTheme="minorEastAsia"/>
          <w:bCs w:val="0"/>
          <w:noProof/>
          <w:szCs w:val="22"/>
          <w:lang w:eastAsia="da-DK"/>
        </w:rPr>
      </w:pPr>
      <w:hyperlink w:anchor="_Toc54877176" w:history="1">
        <w:r w:rsidR="002C25F6" w:rsidRPr="00C25F31">
          <w:rPr>
            <w:rStyle w:val="Hyperlink"/>
            <w:noProof/>
          </w:rPr>
          <w:t>3.</w:t>
        </w:r>
        <w:r w:rsidR="002C25F6">
          <w:rPr>
            <w:rFonts w:eastAsiaTheme="minorEastAsia"/>
            <w:bCs w:val="0"/>
            <w:noProof/>
            <w:szCs w:val="22"/>
            <w:lang w:eastAsia="da-DK"/>
          </w:rPr>
          <w:tab/>
        </w:r>
        <w:r w:rsidR="002C25F6" w:rsidRPr="00C25F31">
          <w:rPr>
            <w:rStyle w:val="Hyperlink"/>
            <w:noProof/>
          </w:rPr>
          <w:t>Baggrunden for, at loven blev udvalgt til lovovervågning</w:t>
        </w:r>
        <w:r w:rsidR="002C25F6">
          <w:rPr>
            <w:noProof/>
            <w:webHidden/>
          </w:rPr>
          <w:tab/>
        </w:r>
        <w:r w:rsidR="002C25F6">
          <w:rPr>
            <w:noProof/>
            <w:webHidden/>
          </w:rPr>
          <w:fldChar w:fldCharType="begin"/>
        </w:r>
        <w:r w:rsidR="002C25F6">
          <w:rPr>
            <w:noProof/>
            <w:webHidden/>
          </w:rPr>
          <w:instrText xml:space="preserve"> PAGEREF _Toc54877176 \h </w:instrText>
        </w:r>
        <w:r w:rsidR="002C25F6">
          <w:rPr>
            <w:noProof/>
            <w:webHidden/>
          </w:rPr>
        </w:r>
        <w:r w:rsidR="002C25F6">
          <w:rPr>
            <w:noProof/>
            <w:webHidden/>
          </w:rPr>
          <w:fldChar w:fldCharType="separate"/>
        </w:r>
        <w:r w:rsidR="002C25F6">
          <w:rPr>
            <w:noProof/>
            <w:webHidden/>
          </w:rPr>
          <w:t>5</w:t>
        </w:r>
        <w:r w:rsidR="002C25F6">
          <w:rPr>
            <w:noProof/>
            <w:webHidden/>
          </w:rPr>
          <w:fldChar w:fldCharType="end"/>
        </w:r>
      </w:hyperlink>
    </w:p>
    <w:p w14:paraId="3F76753B" w14:textId="38B41595" w:rsidR="002C25F6" w:rsidRDefault="006C4A65">
      <w:pPr>
        <w:pStyle w:val="Indholdsfortegnelse1"/>
        <w:tabs>
          <w:tab w:val="left" w:pos="480"/>
          <w:tab w:val="right" w:leader="dot" w:pos="6792"/>
        </w:tabs>
        <w:rPr>
          <w:rFonts w:eastAsiaTheme="minorEastAsia"/>
          <w:bCs w:val="0"/>
          <w:noProof/>
          <w:szCs w:val="22"/>
          <w:lang w:eastAsia="da-DK"/>
        </w:rPr>
      </w:pPr>
      <w:hyperlink w:anchor="_Toc54877177" w:history="1">
        <w:r w:rsidR="002C25F6" w:rsidRPr="00C25F31">
          <w:rPr>
            <w:rStyle w:val="Hyperlink"/>
            <w:noProof/>
          </w:rPr>
          <w:t>4.</w:t>
        </w:r>
        <w:r w:rsidR="002C25F6">
          <w:rPr>
            <w:rFonts w:eastAsiaTheme="minorEastAsia"/>
            <w:bCs w:val="0"/>
            <w:noProof/>
            <w:szCs w:val="22"/>
            <w:lang w:eastAsia="da-DK"/>
          </w:rPr>
          <w:tab/>
        </w:r>
        <w:r w:rsidR="002C25F6" w:rsidRPr="00C25F31">
          <w:rPr>
            <w:rStyle w:val="Hyperlink"/>
            <w:noProof/>
          </w:rPr>
          <w:t>Evaluering gennemført af Epinion</w:t>
        </w:r>
        <w:r w:rsidR="002C25F6">
          <w:rPr>
            <w:noProof/>
            <w:webHidden/>
          </w:rPr>
          <w:tab/>
        </w:r>
        <w:r w:rsidR="002C25F6">
          <w:rPr>
            <w:noProof/>
            <w:webHidden/>
          </w:rPr>
          <w:fldChar w:fldCharType="begin"/>
        </w:r>
        <w:r w:rsidR="002C25F6">
          <w:rPr>
            <w:noProof/>
            <w:webHidden/>
          </w:rPr>
          <w:instrText xml:space="preserve"> PAGEREF _Toc54877177 \h </w:instrText>
        </w:r>
        <w:r w:rsidR="002C25F6">
          <w:rPr>
            <w:noProof/>
            <w:webHidden/>
          </w:rPr>
        </w:r>
        <w:r w:rsidR="002C25F6">
          <w:rPr>
            <w:noProof/>
            <w:webHidden/>
          </w:rPr>
          <w:fldChar w:fldCharType="separate"/>
        </w:r>
        <w:r w:rsidR="002C25F6">
          <w:rPr>
            <w:noProof/>
            <w:webHidden/>
          </w:rPr>
          <w:t>6</w:t>
        </w:r>
        <w:r w:rsidR="002C25F6">
          <w:rPr>
            <w:noProof/>
            <w:webHidden/>
          </w:rPr>
          <w:fldChar w:fldCharType="end"/>
        </w:r>
      </w:hyperlink>
    </w:p>
    <w:p w14:paraId="3E7C2B88" w14:textId="73B0AE18" w:rsidR="002C25F6" w:rsidRDefault="006C4A65">
      <w:pPr>
        <w:pStyle w:val="Indholdsfortegnelse1"/>
        <w:tabs>
          <w:tab w:val="left" w:pos="480"/>
          <w:tab w:val="right" w:leader="dot" w:pos="6792"/>
        </w:tabs>
        <w:rPr>
          <w:rFonts w:eastAsiaTheme="minorEastAsia"/>
          <w:bCs w:val="0"/>
          <w:noProof/>
          <w:szCs w:val="22"/>
          <w:lang w:eastAsia="da-DK"/>
        </w:rPr>
      </w:pPr>
      <w:hyperlink w:anchor="_Toc54877178" w:history="1">
        <w:r w:rsidR="002C25F6" w:rsidRPr="00C25F31">
          <w:rPr>
            <w:rStyle w:val="Hyperlink"/>
            <w:noProof/>
          </w:rPr>
          <w:t>5.</w:t>
        </w:r>
        <w:r w:rsidR="002C25F6">
          <w:rPr>
            <w:rFonts w:eastAsiaTheme="minorEastAsia"/>
            <w:bCs w:val="0"/>
            <w:noProof/>
            <w:szCs w:val="22"/>
            <w:lang w:eastAsia="da-DK"/>
          </w:rPr>
          <w:tab/>
        </w:r>
        <w:r w:rsidR="002C25F6" w:rsidRPr="00C25F31">
          <w:rPr>
            <w:rStyle w:val="Hyperlink"/>
            <w:noProof/>
          </w:rPr>
          <w:t>Høringsproces m.v.</w:t>
        </w:r>
        <w:r w:rsidR="002C25F6">
          <w:rPr>
            <w:noProof/>
            <w:webHidden/>
          </w:rPr>
          <w:tab/>
        </w:r>
        <w:r w:rsidR="002C25F6">
          <w:rPr>
            <w:noProof/>
            <w:webHidden/>
          </w:rPr>
          <w:fldChar w:fldCharType="begin"/>
        </w:r>
        <w:r w:rsidR="002C25F6">
          <w:rPr>
            <w:noProof/>
            <w:webHidden/>
          </w:rPr>
          <w:instrText xml:space="preserve"> PAGEREF _Toc54877178 \h </w:instrText>
        </w:r>
        <w:r w:rsidR="002C25F6">
          <w:rPr>
            <w:noProof/>
            <w:webHidden/>
          </w:rPr>
        </w:r>
        <w:r w:rsidR="002C25F6">
          <w:rPr>
            <w:noProof/>
            <w:webHidden/>
          </w:rPr>
          <w:fldChar w:fldCharType="separate"/>
        </w:r>
        <w:r w:rsidR="002C25F6">
          <w:rPr>
            <w:noProof/>
            <w:webHidden/>
          </w:rPr>
          <w:t>6</w:t>
        </w:r>
        <w:r w:rsidR="002C25F6">
          <w:rPr>
            <w:noProof/>
            <w:webHidden/>
          </w:rPr>
          <w:fldChar w:fldCharType="end"/>
        </w:r>
      </w:hyperlink>
    </w:p>
    <w:p w14:paraId="3C9EC4BE" w14:textId="2B6DD6E3" w:rsidR="002C25F6" w:rsidRDefault="006C4A65">
      <w:pPr>
        <w:pStyle w:val="Indholdsfortegnelse1"/>
        <w:tabs>
          <w:tab w:val="left" w:pos="480"/>
          <w:tab w:val="right" w:leader="dot" w:pos="6792"/>
        </w:tabs>
        <w:rPr>
          <w:rFonts w:eastAsiaTheme="minorEastAsia"/>
          <w:bCs w:val="0"/>
          <w:noProof/>
          <w:szCs w:val="22"/>
          <w:lang w:eastAsia="da-DK"/>
        </w:rPr>
      </w:pPr>
      <w:hyperlink w:anchor="_Toc54877179" w:history="1">
        <w:r w:rsidR="002C25F6" w:rsidRPr="00C25F31">
          <w:rPr>
            <w:rStyle w:val="Hyperlink"/>
            <w:noProof/>
          </w:rPr>
          <w:t>6.</w:t>
        </w:r>
        <w:r w:rsidR="002C25F6">
          <w:rPr>
            <w:rFonts w:eastAsiaTheme="minorEastAsia"/>
            <w:bCs w:val="0"/>
            <w:noProof/>
            <w:szCs w:val="22"/>
            <w:lang w:eastAsia="da-DK"/>
          </w:rPr>
          <w:tab/>
        </w:r>
        <w:r w:rsidR="002C25F6" w:rsidRPr="00C25F31">
          <w:rPr>
            <w:rStyle w:val="Hyperlink"/>
            <w:noProof/>
          </w:rPr>
          <w:t>Høringsparternes overordnede bemærkninger i 1. høring</w:t>
        </w:r>
        <w:r w:rsidR="002C25F6">
          <w:rPr>
            <w:noProof/>
            <w:webHidden/>
          </w:rPr>
          <w:tab/>
        </w:r>
        <w:r w:rsidR="002C25F6">
          <w:rPr>
            <w:noProof/>
            <w:webHidden/>
          </w:rPr>
          <w:fldChar w:fldCharType="begin"/>
        </w:r>
        <w:r w:rsidR="002C25F6">
          <w:rPr>
            <w:noProof/>
            <w:webHidden/>
          </w:rPr>
          <w:instrText xml:space="preserve"> PAGEREF _Toc54877179 \h </w:instrText>
        </w:r>
        <w:r w:rsidR="002C25F6">
          <w:rPr>
            <w:noProof/>
            <w:webHidden/>
          </w:rPr>
        </w:r>
        <w:r w:rsidR="002C25F6">
          <w:rPr>
            <w:noProof/>
            <w:webHidden/>
          </w:rPr>
          <w:fldChar w:fldCharType="separate"/>
        </w:r>
        <w:r w:rsidR="002C25F6">
          <w:rPr>
            <w:noProof/>
            <w:webHidden/>
          </w:rPr>
          <w:t>7</w:t>
        </w:r>
        <w:r w:rsidR="002C25F6">
          <w:rPr>
            <w:noProof/>
            <w:webHidden/>
          </w:rPr>
          <w:fldChar w:fldCharType="end"/>
        </w:r>
      </w:hyperlink>
    </w:p>
    <w:p w14:paraId="31EE79AD" w14:textId="2B4CFAF2" w:rsidR="002C25F6" w:rsidRDefault="006C4A65">
      <w:pPr>
        <w:pStyle w:val="Indholdsfortegnelse2"/>
        <w:tabs>
          <w:tab w:val="left" w:pos="720"/>
          <w:tab w:val="right" w:leader="dot" w:pos="6792"/>
        </w:tabs>
        <w:rPr>
          <w:rFonts w:eastAsiaTheme="minorEastAsia"/>
          <w:iCs w:val="0"/>
          <w:noProof/>
          <w:szCs w:val="22"/>
          <w:lang w:eastAsia="da-DK"/>
        </w:rPr>
      </w:pPr>
      <w:hyperlink w:anchor="_Toc54877180" w:history="1">
        <w:r w:rsidR="002C25F6" w:rsidRPr="00C25F31">
          <w:rPr>
            <w:rStyle w:val="Hyperlink"/>
            <w:noProof/>
          </w:rPr>
          <w:t>6.1</w:t>
        </w:r>
        <w:r w:rsidR="002C25F6">
          <w:rPr>
            <w:rFonts w:eastAsiaTheme="minorEastAsia"/>
            <w:iCs w:val="0"/>
            <w:noProof/>
            <w:szCs w:val="22"/>
            <w:lang w:eastAsia="da-DK"/>
          </w:rPr>
          <w:tab/>
        </w:r>
        <w:r w:rsidR="002C25F6" w:rsidRPr="00C25F31">
          <w:rPr>
            <w:rStyle w:val="Hyperlink"/>
            <w:noProof/>
          </w:rPr>
          <w:t>Bemærkninger vedr. undersøgelsesmetoder i Epinions evaluering</w:t>
        </w:r>
        <w:r w:rsidR="002C25F6">
          <w:rPr>
            <w:noProof/>
            <w:webHidden/>
          </w:rPr>
          <w:tab/>
        </w:r>
        <w:r w:rsidR="002C25F6">
          <w:rPr>
            <w:noProof/>
            <w:webHidden/>
          </w:rPr>
          <w:fldChar w:fldCharType="begin"/>
        </w:r>
        <w:r w:rsidR="002C25F6">
          <w:rPr>
            <w:noProof/>
            <w:webHidden/>
          </w:rPr>
          <w:instrText xml:space="preserve"> PAGEREF _Toc54877180 \h </w:instrText>
        </w:r>
        <w:r w:rsidR="002C25F6">
          <w:rPr>
            <w:noProof/>
            <w:webHidden/>
          </w:rPr>
        </w:r>
        <w:r w:rsidR="002C25F6">
          <w:rPr>
            <w:noProof/>
            <w:webHidden/>
          </w:rPr>
          <w:fldChar w:fldCharType="separate"/>
        </w:r>
        <w:r w:rsidR="002C25F6">
          <w:rPr>
            <w:noProof/>
            <w:webHidden/>
          </w:rPr>
          <w:t>8</w:t>
        </w:r>
        <w:r w:rsidR="002C25F6">
          <w:rPr>
            <w:noProof/>
            <w:webHidden/>
          </w:rPr>
          <w:fldChar w:fldCharType="end"/>
        </w:r>
      </w:hyperlink>
    </w:p>
    <w:p w14:paraId="24BEB4B8" w14:textId="53AF5809" w:rsidR="002C25F6" w:rsidRDefault="006C4A65">
      <w:pPr>
        <w:pStyle w:val="Indholdsfortegnelse1"/>
        <w:tabs>
          <w:tab w:val="left" w:pos="480"/>
          <w:tab w:val="right" w:leader="dot" w:pos="6792"/>
        </w:tabs>
        <w:rPr>
          <w:rFonts w:eastAsiaTheme="minorEastAsia"/>
          <w:bCs w:val="0"/>
          <w:noProof/>
          <w:szCs w:val="22"/>
          <w:lang w:eastAsia="da-DK"/>
        </w:rPr>
      </w:pPr>
      <w:hyperlink w:anchor="_Toc54877181" w:history="1">
        <w:r w:rsidR="002C25F6" w:rsidRPr="00C25F31">
          <w:rPr>
            <w:rStyle w:val="Hyperlink"/>
            <w:noProof/>
          </w:rPr>
          <w:t>7.</w:t>
        </w:r>
        <w:r w:rsidR="002C25F6">
          <w:rPr>
            <w:rFonts w:eastAsiaTheme="minorEastAsia"/>
            <w:bCs w:val="0"/>
            <w:noProof/>
            <w:szCs w:val="22"/>
            <w:lang w:eastAsia="da-DK"/>
          </w:rPr>
          <w:tab/>
        </w:r>
        <w:r w:rsidR="002C25F6" w:rsidRPr="00C25F31">
          <w:rPr>
            <w:rStyle w:val="Hyperlink"/>
            <w:noProof/>
          </w:rPr>
          <w:t>Antimobbestrategi og handlingsplaner</w:t>
        </w:r>
        <w:r w:rsidR="002C25F6">
          <w:rPr>
            <w:noProof/>
            <w:webHidden/>
          </w:rPr>
          <w:tab/>
        </w:r>
        <w:r w:rsidR="002C25F6">
          <w:rPr>
            <w:noProof/>
            <w:webHidden/>
          </w:rPr>
          <w:fldChar w:fldCharType="begin"/>
        </w:r>
        <w:r w:rsidR="002C25F6">
          <w:rPr>
            <w:noProof/>
            <w:webHidden/>
          </w:rPr>
          <w:instrText xml:space="preserve"> PAGEREF _Toc54877181 \h </w:instrText>
        </w:r>
        <w:r w:rsidR="002C25F6">
          <w:rPr>
            <w:noProof/>
            <w:webHidden/>
          </w:rPr>
        </w:r>
        <w:r w:rsidR="002C25F6">
          <w:rPr>
            <w:noProof/>
            <w:webHidden/>
          </w:rPr>
          <w:fldChar w:fldCharType="separate"/>
        </w:r>
        <w:r w:rsidR="002C25F6">
          <w:rPr>
            <w:noProof/>
            <w:webHidden/>
          </w:rPr>
          <w:t>10</w:t>
        </w:r>
        <w:r w:rsidR="002C25F6">
          <w:rPr>
            <w:noProof/>
            <w:webHidden/>
          </w:rPr>
          <w:fldChar w:fldCharType="end"/>
        </w:r>
      </w:hyperlink>
    </w:p>
    <w:p w14:paraId="4327CCA3" w14:textId="41AAA934" w:rsidR="002C25F6" w:rsidRDefault="006C4A65">
      <w:pPr>
        <w:pStyle w:val="Indholdsfortegnelse2"/>
        <w:tabs>
          <w:tab w:val="left" w:pos="720"/>
          <w:tab w:val="right" w:leader="dot" w:pos="6792"/>
        </w:tabs>
        <w:rPr>
          <w:rFonts w:eastAsiaTheme="minorEastAsia"/>
          <w:iCs w:val="0"/>
          <w:noProof/>
          <w:szCs w:val="22"/>
          <w:lang w:eastAsia="da-DK"/>
        </w:rPr>
      </w:pPr>
      <w:hyperlink w:anchor="_Toc54877182" w:history="1">
        <w:r w:rsidR="002C25F6" w:rsidRPr="00C25F31">
          <w:rPr>
            <w:rStyle w:val="Hyperlink"/>
            <w:noProof/>
          </w:rPr>
          <w:t>7.1</w:t>
        </w:r>
        <w:r w:rsidR="002C25F6">
          <w:rPr>
            <w:rFonts w:eastAsiaTheme="minorEastAsia"/>
            <w:iCs w:val="0"/>
            <w:noProof/>
            <w:szCs w:val="22"/>
            <w:lang w:eastAsia="da-DK"/>
          </w:rPr>
          <w:tab/>
        </w:r>
        <w:r w:rsidR="002C25F6" w:rsidRPr="00C25F31">
          <w:rPr>
            <w:rStyle w:val="Hyperlink"/>
            <w:noProof/>
          </w:rPr>
          <w:t>Epinion-evalueringens centrale resultater</w:t>
        </w:r>
        <w:r w:rsidR="002C25F6">
          <w:rPr>
            <w:noProof/>
            <w:webHidden/>
          </w:rPr>
          <w:tab/>
        </w:r>
        <w:r w:rsidR="002C25F6">
          <w:rPr>
            <w:noProof/>
            <w:webHidden/>
          </w:rPr>
          <w:fldChar w:fldCharType="begin"/>
        </w:r>
        <w:r w:rsidR="002C25F6">
          <w:rPr>
            <w:noProof/>
            <w:webHidden/>
          </w:rPr>
          <w:instrText xml:space="preserve"> PAGEREF _Toc54877182 \h </w:instrText>
        </w:r>
        <w:r w:rsidR="002C25F6">
          <w:rPr>
            <w:noProof/>
            <w:webHidden/>
          </w:rPr>
        </w:r>
        <w:r w:rsidR="002C25F6">
          <w:rPr>
            <w:noProof/>
            <w:webHidden/>
          </w:rPr>
          <w:fldChar w:fldCharType="separate"/>
        </w:r>
        <w:r w:rsidR="002C25F6">
          <w:rPr>
            <w:noProof/>
            <w:webHidden/>
          </w:rPr>
          <w:t>10</w:t>
        </w:r>
        <w:r w:rsidR="002C25F6">
          <w:rPr>
            <w:noProof/>
            <w:webHidden/>
          </w:rPr>
          <w:fldChar w:fldCharType="end"/>
        </w:r>
      </w:hyperlink>
    </w:p>
    <w:p w14:paraId="68E2623A" w14:textId="28D32363" w:rsidR="002C25F6" w:rsidRDefault="006C4A65">
      <w:pPr>
        <w:pStyle w:val="Indholdsfortegnelse2"/>
        <w:tabs>
          <w:tab w:val="left" w:pos="720"/>
          <w:tab w:val="right" w:leader="dot" w:pos="6792"/>
        </w:tabs>
        <w:rPr>
          <w:rFonts w:eastAsiaTheme="minorEastAsia"/>
          <w:iCs w:val="0"/>
          <w:noProof/>
          <w:szCs w:val="22"/>
          <w:lang w:eastAsia="da-DK"/>
        </w:rPr>
      </w:pPr>
      <w:hyperlink w:anchor="_Toc54877183" w:history="1">
        <w:r w:rsidR="002C25F6" w:rsidRPr="00C25F31">
          <w:rPr>
            <w:rStyle w:val="Hyperlink"/>
            <w:noProof/>
          </w:rPr>
          <w:t>7.2</w:t>
        </w:r>
        <w:r w:rsidR="002C25F6">
          <w:rPr>
            <w:rFonts w:eastAsiaTheme="minorEastAsia"/>
            <w:iCs w:val="0"/>
            <w:noProof/>
            <w:szCs w:val="22"/>
            <w:lang w:eastAsia="da-DK"/>
          </w:rPr>
          <w:tab/>
        </w:r>
        <w:r w:rsidR="002C25F6" w:rsidRPr="00C25F31">
          <w:rPr>
            <w:rStyle w:val="Hyperlink"/>
            <w:noProof/>
          </w:rPr>
          <w:t>Høringsparternes synspunkter i 1. høring</w:t>
        </w:r>
        <w:r w:rsidR="002C25F6">
          <w:rPr>
            <w:noProof/>
            <w:webHidden/>
          </w:rPr>
          <w:tab/>
        </w:r>
        <w:r w:rsidR="002C25F6">
          <w:rPr>
            <w:noProof/>
            <w:webHidden/>
          </w:rPr>
          <w:fldChar w:fldCharType="begin"/>
        </w:r>
        <w:r w:rsidR="002C25F6">
          <w:rPr>
            <w:noProof/>
            <w:webHidden/>
          </w:rPr>
          <w:instrText xml:space="preserve"> PAGEREF _Toc54877183 \h </w:instrText>
        </w:r>
        <w:r w:rsidR="002C25F6">
          <w:rPr>
            <w:noProof/>
            <w:webHidden/>
          </w:rPr>
        </w:r>
        <w:r w:rsidR="002C25F6">
          <w:rPr>
            <w:noProof/>
            <w:webHidden/>
          </w:rPr>
          <w:fldChar w:fldCharType="separate"/>
        </w:r>
        <w:r w:rsidR="002C25F6">
          <w:rPr>
            <w:noProof/>
            <w:webHidden/>
          </w:rPr>
          <w:t>10</w:t>
        </w:r>
        <w:r w:rsidR="002C25F6">
          <w:rPr>
            <w:noProof/>
            <w:webHidden/>
          </w:rPr>
          <w:fldChar w:fldCharType="end"/>
        </w:r>
      </w:hyperlink>
    </w:p>
    <w:p w14:paraId="4FDF432E" w14:textId="474B4866" w:rsidR="002C25F6" w:rsidRDefault="006C4A65">
      <w:pPr>
        <w:pStyle w:val="Indholdsfortegnelse2"/>
        <w:tabs>
          <w:tab w:val="left" w:pos="720"/>
          <w:tab w:val="right" w:leader="dot" w:pos="6792"/>
        </w:tabs>
        <w:rPr>
          <w:rFonts w:eastAsiaTheme="minorEastAsia"/>
          <w:iCs w:val="0"/>
          <w:noProof/>
          <w:szCs w:val="22"/>
          <w:lang w:eastAsia="da-DK"/>
        </w:rPr>
      </w:pPr>
      <w:hyperlink w:anchor="_Toc54877184" w:history="1">
        <w:r w:rsidR="002C25F6" w:rsidRPr="00C25F31">
          <w:rPr>
            <w:rStyle w:val="Hyperlink"/>
            <w:noProof/>
          </w:rPr>
          <w:t>7.3</w:t>
        </w:r>
        <w:r w:rsidR="002C25F6">
          <w:rPr>
            <w:rFonts w:eastAsiaTheme="minorEastAsia"/>
            <w:iCs w:val="0"/>
            <w:noProof/>
            <w:szCs w:val="22"/>
            <w:lang w:eastAsia="da-DK"/>
          </w:rPr>
          <w:tab/>
        </w:r>
        <w:r w:rsidR="002C25F6" w:rsidRPr="00C25F31">
          <w:rPr>
            <w:rStyle w:val="Hyperlink"/>
            <w:noProof/>
          </w:rPr>
          <w:t>Børne- og Undervisningsministeriets bemærkninger og overvejelser</w:t>
        </w:r>
        <w:r w:rsidR="002C25F6">
          <w:rPr>
            <w:noProof/>
            <w:webHidden/>
          </w:rPr>
          <w:tab/>
        </w:r>
        <w:r w:rsidR="002C25F6">
          <w:rPr>
            <w:noProof/>
            <w:webHidden/>
          </w:rPr>
          <w:fldChar w:fldCharType="begin"/>
        </w:r>
        <w:r w:rsidR="002C25F6">
          <w:rPr>
            <w:noProof/>
            <w:webHidden/>
          </w:rPr>
          <w:instrText xml:space="preserve"> PAGEREF _Toc54877184 \h </w:instrText>
        </w:r>
        <w:r w:rsidR="002C25F6">
          <w:rPr>
            <w:noProof/>
            <w:webHidden/>
          </w:rPr>
        </w:r>
        <w:r w:rsidR="002C25F6">
          <w:rPr>
            <w:noProof/>
            <w:webHidden/>
          </w:rPr>
          <w:fldChar w:fldCharType="separate"/>
        </w:r>
        <w:r w:rsidR="002C25F6">
          <w:rPr>
            <w:noProof/>
            <w:webHidden/>
          </w:rPr>
          <w:t>13</w:t>
        </w:r>
        <w:r w:rsidR="002C25F6">
          <w:rPr>
            <w:noProof/>
            <w:webHidden/>
          </w:rPr>
          <w:fldChar w:fldCharType="end"/>
        </w:r>
      </w:hyperlink>
    </w:p>
    <w:p w14:paraId="43211C12" w14:textId="79A3A25F" w:rsidR="002C25F6" w:rsidRDefault="006C4A65">
      <w:pPr>
        <w:pStyle w:val="Indholdsfortegnelse1"/>
        <w:tabs>
          <w:tab w:val="left" w:pos="480"/>
          <w:tab w:val="right" w:leader="dot" w:pos="6792"/>
        </w:tabs>
        <w:rPr>
          <w:rFonts w:eastAsiaTheme="minorEastAsia"/>
          <w:bCs w:val="0"/>
          <w:noProof/>
          <w:szCs w:val="22"/>
          <w:lang w:eastAsia="da-DK"/>
        </w:rPr>
      </w:pPr>
      <w:hyperlink w:anchor="_Toc54877185" w:history="1">
        <w:r w:rsidR="002C25F6" w:rsidRPr="00C25F31">
          <w:rPr>
            <w:rStyle w:val="Hyperlink"/>
            <w:noProof/>
          </w:rPr>
          <w:t>8.</w:t>
        </w:r>
        <w:r w:rsidR="002C25F6">
          <w:rPr>
            <w:rFonts w:eastAsiaTheme="minorEastAsia"/>
            <w:bCs w:val="0"/>
            <w:noProof/>
            <w:szCs w:val="22"/>
            <w:lang w:eastAsia="da-DK"/>
          </w:rPr>
          <w:tab/>
        </w:r>
        <w:r w:rsidR="002C25F6" w:rsidRPr="00C25F31">
          <w:rPr>
            <w:rStyle w:val="Hyperlink"/>
            <w:noProof/>
          </w:rPr>
          <w:t>Klageordningen og klageinstansen, herunder solnedgangsklausulen</w:t>
        </w:r>
        <w:r w:rsidR="002C25F6">
          <w:rPr>
            <w:noProof/>
            <w:webHidden/>
          </w:rPr>
          <w:tab/>
        </w:r>
        <w:r w:rsidR="002C25F6">
          <w:rPr>
            <w:noProof/>
            <w:webHidden/>
          </w:rPr>
          <w:fldChar w:fldCharType="begin"/>
        </w:r>
        <w:r w:rsidR="002C25F6">
          <w:rPr>
            <w:noProof/>
            <w:webHidden/>
          </w:rPr>
          <w:instrText xml:space="preserve"> PAGEREF _Toc54877185 \h </w:instrText>
        </w:r>
        <w:r w:rsidR="002C25F6">
          <w:rPr>
            <w:noProof/>
            <w:webHidden/>
          </w:rPr>
        </w:r>
        <w:r w:rsidR="002C25F6">
          <w:rPr>
            <w:noProof/>
            <w:webHidden/>
          </w:rPr>
          <w:fldChar w:fldCharType="separate"/>
        </w:r>
        <w:r w:rsidR="002C25F6">
          <w:rPr>
            <w:noProof/>
            <w:webHidden/>
          </w:rPr>
          <w:t>16</w:t>
        </w:r>
        <w:r w:rsidR="002C25F6">
          <w:rPr>
            <w:noProof/>
            <w:webHidden/>
          </w:rPr>
          <w:fldChar w:fldCharType="end"/>
        </w:r>
      </w:hyperlink>
    </w:p>
    <w:p w14:paraId="683EA8A4" w14:textId="72F3A5D9" w:rsidR="002C25F6" w:rsidRDefault="006C4A65">
      <w:pPr>
        <w:pStyle w:val="Indholdsfortegnelse2"/>
        <w:tabs>
          <w:tab w:val="left" w:pos="720"/>
          <w:tab w:val="right" w:leader="dot" w:pos="6792"/>
        </w:tabs>
        <w:rPr>
          <w:rFonts w:eastAsiaTheme="minorEastAsia"/>
          <w:iCs w:val="0"/>
          <w:noProof/>
          <w:szCs w:val="22"/>
          <w:lang w:eastAsia="da-DK"/>
        </w:rPr>
      </w:pPr>
      <w:hyperlink w:anchor="_Toc54877186" w:history="1">
        <w:r w:rsidR="002C25F6" w:rsidRPr="00C25F31">
          <w:rPr>
            <w:rStyle w:val="Hyperlink"/>
            <w:noProof/>
          </w:rPr>
          <w:t>8.1</w:t>
        </w:r>
        <w:r w:rsidR="002C25F6">
          <w:rPr>
            <w:rFonts w:eastAsiaTheme="minorEastAsia"/>
            <w:iCs w:val="0"/>
            <w:noProof/>
            <w:szCs w:val="22"/>
            <w:lang w:eastAsia="da-DK"/>
          </w:rPr>
          <w:tab/>
        </w:r>
        <w:r w:rsidR="002C25F6" w:rsidRPr="00C25F31">
          <w:rPr>
            <w:rStyle w:val="Hyperlink"/>
            <w:noProof/>
          </w:rPr>
          <w:t>Epinion-evalueringens centrale resultater</w:t>
        </w:r>
        <w:r w:rsidR="002C25F6">
          <w:rPr>
            <w:noProof/>
            <w:webHidden/>
          </w:rPr>
          <w:tab/>
        </w:r>
        <w:r w:rsidR="002C25F6">
          <w:rPr>
            <w:noProof/>
            <w:webHidden/>
          </w:rPr>
          <w:fldChar w:fldCharType="begin"/>
        </w:r>
        <w:r w:rsidR="002C25F6">
          <w:rPr>
            <w:noProof/>
            <w:webHidden/>
          </w:rPr>
          <w:instrText xml:space="preserve"> PAGEREF _Toc54877186 \h </w:instrText>
        </w:r>
        <w:r w:rsidR="002C25F6">
          <w:rPr>
            <w:noProof/>
            <w:webHidden/>
          </w:rPr>
        </w:r>
        <w:r w:rsidR="002C25F6">
          <w:rPr>
            <w:noProof/>
            <w:webHidden/>
          </w:rPr>
          <w:fldChar w:fldCharType="separate"/>
        </w:r>
        <w:r w:rsidR="002C25F6">
          <w:rPr>
            <w:noProof/>
            <w:webHidden/>
          </w:rPr>
          <w:t>17</w:t>
        </w:r>
        <w:r w:rsidR="002C25F6">
          <w:rPr>
            <w:noProof/>
            <w:webHidden/>
          </w:rPr>
          <w:fldChar w:fldCharType="end"/>
        </w:r>
      </w:hyperlink>
    </w:p>
    <w:p w14:paraId="46D88E12" w14:textId="2ADE79EB" w:rsidR="002C25F6" w:rsidRDefault="006C4A65">
      <w:pPr>
        <w:pStyle w:val="Indholdsfortegnelse2"/>
        <w:tabs>
          <w:tab w:val="left" w:pos="720"/>
          <w:tab w:val="right" w:leader="dot" w:pos="6792"/>
        </w:tabs>
        <w:rPr>
          <w:rFonts w:eastAsiaTheme="minorEastAsia"/>
          <w:iCs w:val="0"/>
          <w:noProof/>
          <w:szCs w:val="22"/>
          <w:lang w:eastAsia="da-DK"/>
        </w:rPr>
      </w:pPr>
      <w:hyperlink w:anchor="_Toc54877187" w:history="1">
        <w:r w:rsidR="002C25F6" w:rsidRPr="00C25F31">
          <w:rPr>
            <w:rStyle w:val="Hyperlink"/>
            <w:noProof/>
          </w:rPr>
          <w:t>8.2</w:t>
        </w:r>
        <w:r w:rsidR="002C25F6">
          <w:rPr>
            <w:rFonts w:eastAsiaTheme="minorEastAsia"/>
            <w:iCs w:val="0"/>
            <w:noProof/>
            <w:szCs w:val="22"/>
            <w:lang w:eastAsia="da-DK"/>
          </w:rPr>
          <w:tab/>
        </w:r>
        <w:r w:rsidR="002C25F6" w:rsidRPr="00C25F31">
          <w:rPr>
            <w:rStyle w:val="Hyperlink"/>
            <w:noProof/>
          </w:rPr>
          <w:t>Høringsparternes synspunkter i 1. høring</w:t>
        </w:r>
        <w:r w:rsidR="002C25F6">
          <w:rPr>
            <w:noProof/>
            <w:webHidden/>
          </w:rPr>
          <w:tab/>
        </w:r>
        <w:r w:rsidR="002C25F6">
          <w:rPr>
            <w:noProof/>
            <w:webHidden/>
          </w:rPr>
          <w:fldChar w:fldCharType="begin"/>
        </w:r>
        <w:r w:rsidR="002C25F6">
          <w:rPr>
            <w:noProof/>
            <w:webHidden/>
          </w:rPr>
          <w:instrText xml:space="preserve"> PAGEREF _Toc54877187 \h </w:instrText>
        </w:r>
        <w:r w:rsidR="002C25F6">
          <w:rPr>
            <w:noProof/>
            <w:webHidden/>
          </w:rPr>
        </w:r>
        <w:r w:rsidR="002C25F6">
          <w:rPr>
            <w:noProof/>
            <w:webHidden/>
          </w:rPr>
          <w:fldChar w:fldCharType="separate"/>
        </w:r>
        <w:r w:rsidR="002C25F6">
          <w:rPr>
            <w:noProof/>
            <w:webHidden/>
          </w:rPr>
          <w:t>17</w:t>
        </w:r>
        <w:r w:rsidR="002C25F6">
          <w:rPr>
            <w:noProof/>
            <w:webHidden/>
          </w:rPr>
          <w:fldChar w:fldCharType="end"/>
        </w:r>
      </w:hyperlink>
    </w:p>
    <w:p w14:paraId="7CCF10FE" w14:textId="54AE051C" w:rsidR="002C25F6" w:rsidRDefault="006C4A65">
      <w:pPr>
        <w:pStyle w:val="Indholdsfortegnelse2"/>
        <w:tabs>
          <w:tab w:val="left" w:pos="720"/>
          <w:tab w:val="right" w:leader="dot" w:pos="6792"/>
        </w:tabs>
        <w:rPr>
          <w:rFonts w:eastAsiaTheme="minorEastAsia"/>
          <w:iCs w:val="0"/>
          <w:noProof/>
          <w:szCs w:val="22"/>
          <w:lang w:eastAsia="da-DK"/>
        </w:rPr>
      </w:pPr>
      <w:hyperlink w:anchor="_Toc54877188" w:history="1">
        <w:r w:rsidR="002C25F6" w:rsidRPr="00C25F31">
          <w:rPr>
            <w:rStyle w:val="Hyperlink"/>
            <w:noProof/>
          </w:rPr>
          <w:t>8.3</w:t>
        </w:r>
        <w:r w:rsidR="002C25F6">
          <w:rPr>
            <w:rFonts w:eastAsiaTheme="minorEastAsia"/>
            <w:iCs w:val="0"/>
            <w:noProof/>
            <w:szCs w:val="22"/>
            <w:lang w:eastAsia="da-DK"/>
          </w:rPr>
          <w:tab/>
        </w:r>
        <w:r w:rsidR="002C25F6" w:rsidRPr="00C25F31">
          <w:rPr>
            <w:rStyle w:val="Hyperlink"/>
            <w:noProof/>
          </w:rPr>
          <w:t>Børne- og Undervisningsministeriets bemærkninger og overvejelser</w:t>
        </w:r>
        <w:r w:rsidR="002C25F6">
          <w:rPr>
            <w:noProof/>
            <w:webHidden/>
          </w:rPr>
          <w:tab/>
        </w:r>
        <w:r w:rsidR="002C25F6">
          <w:rPr>
            <w:noProof/>
            <w:webHidden/>
          </w:rPr>
          <w:fldChar w:fldCharType="begin"/>
        </w:r>
        <w:r w:rsidR="002C25F6">
          <w:rPr>
            <w:noProof/>
            <w:webHidden/>
          </w:rPr>
          <w:instrText xml:space="preserve"> PAGEREF _Toc54877188 \h </w:instrText>
        </w:r>
        <w:r w:rsidR="002C25F6">
          <w:rPr>
            <w:noProof/>
            <w:webHidden/>
          </w:rPr>
        </w:r>
        <w:r w:rsidR="002C25F6">
          <w:rPr>
            <w:noProof/>
            <w:webHidden/>
          </w:rPr>
          <w:fldChar w:fldCharType="separate"/>
        </w:r>
        <w:r w:rsidR="002C25F6">
          <w:rPr>
            <w:noProof/>
            <w:webHidden/>
          </w:rPr>
          <w:t>19</w:t>
        </w:r>
        <w:r w:rsidR="002C25F6">
          <w:rPr>
            <w:noProof/>
            <w:webHidden/>
          </w:rPr>
          <w:fldChar w:fldCharType="end"/>
        </w:r>
      </w:hyperlink>
    </w:p>
    <w:p w14:paraId="2ECBD2EA" w14:textId="4DA910A0" w:rsidR="002C25F6" w:rsidRDefault="006C4A65">
      <w:pPr>
        <w:pStyle w:val="Indholdsfortegnelse1"/>
        <w:tabs>
          <w:tab w:val="left" w:pos="480"/>
          <w:tab w:val="right" w:leader="dot" w:pos="6792"/>
        </w:tabs>
        <w:rPr>
          <w:rFonts w:eastAsiaTheme="minorEastAsia"/>
          <w:bCs w:val="0"/>
          <w:noProof/>
          <w:szCs w:val="22"/>
          <w:lang w:eastAsia="da-DK"/>
        </w:rPr>
      </w:pPr>
      <w:hyperlink w:anchor="_Toc54877189" w:history="1">
        <w:r w:rsidR="002C25F6" w:rsidRPr="00C25F31">
          <w:rPr>
            <w:rStyle w:val="Hyperlink"/>
            <w:noProof/>
          </w:rPr>
          <w:t>9.</w:t>
        </w:r>
        <w:r w:rsidR="002C25F6">
          <w:rPr>
            <w:rFonts w:eastAsiaTheme="minorEastAsia"/>
            <w:bCs w:val="0"/>
            <w:noProof/>
            <w:szCs w:val="22"/>
            <w:lang w:eastAsia="da-DK"/>
          </w:rPr>
          <w:tab/>
        </w:r>
        <w:r w:rsidR="002C25F6" w:rsidRPr="00C25F31">
          <w:rPr>
            <w:rStyle w:val="Hyperlink"/>
            <w:noProof/>
          </w:rPr>
          <w:t>Tilsyn</w:t>
        </w:r>
        <w:r w:rsidR="002C25F6">
          <w:rPr>
            <w:noProof/>
            <w:webHidden/>
          </w:rPr>
          <w:tab/>
        </w:r>
        <w:r w:rsidR="002C25F6">
          <w:rPr>
            <w:noProof/>
            <w:webHidden/>
          </w:rPr>
          <w:fldChar w:fldCharType="begin"/>
        </w:r>
        <w:r w:rsidR="002C25F6">
          <w:rPr>
            <w:noProof/>
            <w:webHidden/>
          </w:rPr>
          <w:instrText xml:space="preserve"> PAGEREF _Toc54877189 \h </w:instrText>
        </w:r>
        <w:r w:rsidR="002C25F6">
          <w:rPr>
            <w:noProof/>
            <w:webHidden/>
          </w:rPr>
        </w:r>
        <w:r w:rsidR="002C25F6">
          <w:rPr>
            <w:noProof/>
            <w:webHidden/>
          </w:rPr>
          <w:fldChar w:fldCharType="separate"/>
        </w:r>
        <w:r w:rsidR="002C25F6">
          <w:rPr>
            <w:noProof/>
            <w:webHidden/>
          </w:rPr>
          <w:t>23</w:t>
        </w:r>
        <w:r w:rsidR="002C25F6">
          <w:rPr>
            <w:noProof/>
            <w:webHidden/>
          </w:rPr>
          <w:fldChar w:fldCharType="end"/>
        </w:r>
      </w:hyperlink>
    </w:p>
    <w:p w14:paraId="5C67318C" w14:textId="31D3FA99" w:rsidR="002C25F6" w:rsidRDefault="006C4A65">
      <w:pPr>
        <w:pStyle w:val="Indholdsfortegnelse2"/>
        <w:tabs>
          <w:tab w:val="left" w:pos="720"/>
          <w:tab w:val="right" w:leader="dot" w:pos="6792"/>
        </w:tabs>
        <w:rPr>
          <w:rFonts w:eastAsiaTheme="minorEastAsia"/>
          <w:iCs w:val="0"/>
          <w:noProof/>
          <w:szCs w:val="22"/>
          <w:lang w:eastAsia="da-DK"/>
        </w:rPr>
      </w:pPr>
      <w:hyperlink w:anchor="_Toc54877190" w:history="1">
        <w:r w:rsidR="002C25F6" w:rsidRPr="00C25F31">
          <w:rPr>
            <w:rStyle w:val="Hyperlink"/>
            <w:noProof/>
          </w:rPr>
          <w:t>9.1</w:t>
        </w:r>
        <w:r w:rsidR="002C25F6">
          <w:rPr>
            <w:rFonts w:eastAsiaTheme="minorEastAsia"/>
            <w:iCs w:val="0"/>
            <w:noProof/>
            <w:szCs w:val="22"/>
            <w:lang w:eastAsia="da-DK"/>
          </w:rPr>
          <w:tab/>
        </w:r>
        <w:r w:rsidR="002C25F6" w:rsidRPr="00C25F31">
          <w:rPr>
            <w:rStyle w:val="Hyperlink"/>
            <w:noProof/>
          </w:rPr>
          <w:t>Epinion-evalueringens centrale resultater</w:t>
        </w:r>
        <w:r w:rsidR="002C25F6">
          <w:rPr>
            <w:noProof/>
            <w:webHidden/>
          </w:rPr>
          <w:tab/>
        </w:r>
        <w:r w:rsidR="002C25F6">
          <w:rPr>
            <w:noProof/>
            <w:webHidden/>
          </w:rPr>
          <w:fldChar w:fldCharType="begin"/>
        </w:r>
        <w:r w:rsidR="002C25F6">
          <w:rPr>
            <w:noProof/>
            <w:webHidden/>
          </w:rPr>
          <w:instrText xml:space="preserve"> PAGEREF _Toc54877190 \h </w:instrText>
        </w:r>
        <w:r w:rsidR="002C25F6">
          <w:rPr>
            <w:noProof/>
            <w:webHidden/>
          </w:rPr>
        </w:r>
        <w:r w:rsidR="002C25F6">
          <w:rPr>
            <w:noProof/>
            <w:webHidden/>
          </w:rPr>
          <w:fldChar w:fldCharType="separate"/>
        </w:r>
        <w:r w:rsidR="002C25F6">
          <w:rPr>
            <w:noProof/>
            <w:webHidden/>
          </w:rPr>
          <w:t>23</w:t>
        </w:r>
        <w:r w:rsidR="002C25F6">
          <w:rPr>
            <w:noProof/>
            <w:webHidden/>
          </w:rPr>
          <w:fldChar w:fldCharType="end"/>
        </w:r>
      </w:hyperlink>
    </w:p>
    <w:p w14:paraId="7DE4C031" w14:textId="6139828D" w:rsidR="002C25F6" w:rsidRDefault="006C4A65">
      <w:pPr>
        <w:pStyle w:val="Indholdsfortegnelse2"/>
        <w:tabs>
          <w:tab w:val="left" w:pos="720"/>
          <w:tab w:val="right" w:leader="dot" w:pos="6792"/>
        </w:tabs>
        <w:rPr>
          <w:rFonts w:eastAsiaTheme="minorEastAsia"/>
          <w:iCs w:val="0"/>
          <w:noProof/>
          <w:szCs w:val="22"/>
          <w:lang w:eastAsia="da-DK"/>
        </w:rPr>
      </w:pPr>
      <w:hyperlink w:anchor="_Toc54877191" w:history="1">
        <w:r w:rsidR="002C25F6" w:rsidRPr="00C25F31">
          <w:rPr>
            <w:rStyle w:val="Hyperlink"/>
            <w:noProof/>
          </w:rPr>
          <w:t>9.2</w:t>
        </w:r>
        <w:r w:rsidR="002C25F6">
          <w:rPr>
            <w:rFonts w:eastAsiaTheme="minorEastAsia"/>
            <w:iCs w:val="0"/>
            <w:noProof/>
            <w:szCs w:val="22"/>
            <w:lang w:eastAsia="da-DK"/>
          </w:rPr>
          <w:tab/>
        </w:r>
        <w:r w:rsidR="002C25F6" w:rsidRPr="00C25F31">
          <w:rPr>
            <w:rStyle w:val="Hyperlink"/>
            <w:noProof/>
          </w:rPr>
          <w:t>Høringsparternes synspunkter i 1. høring</w:t>
        </w:r>
        <w:r w:rsidR="002C25F6">
          <w:rPr>
            <w:noProof/>
            <w:webHidden/>
          </w:rPr>
          <w:tab/>
        </w:r>
        <w:r w:rsidR="002C25F6">
          <w:rPr>
            <w:noProof/>
            <w:webHidden/>
          </w:rPr>
          <w:fldChar w:fldCharType="begin"/>
        </w:r>
        <w:r w:rsidR="002C25F6">
          <w:rPr>
            <w:noProof/>
            <w:webHidden/>
          </w:rPr>
          <w:instrText xml:space="preserve"> PAGEREF _Toc54877191 \h </w:instrText>
        </w:r>
        <w:r w:rsidR="002C25F6">
          <w:rPr>
            <w:noProof/>
            <w:webHidden/>
          </w:rPr>
        </w:r>
        <w:r w:rsidR="002C25F6">
          <w:rPr>
            <w:noProof/>
            <w:webHidden/>
          </w:rPr>
          <w:fldChar w:fldCharType="separate"/>
        </w:r>
        <w:r w:rsidR="002C25F6">
          <w:rPr>
            <w:noProof/>
            <w:webHidden/>
          </w:rPr>
          <w:t>24</w:t>
        </w:r>
        <w:r w:rsidR="002C25F6">
          <w:rPr>
            <w:noProof/>
            <w:webHidden/>
          </w:rPr>
          <w:fldChar w:fldCharType="end"/>
        </w:r>
      </w:hyperlink>
    </w:p>
    <w:p w14:paraId="4BAE0D10" w14:textId="5D9A157D" w:rsidR="002C25F6" w:rsidRDefault="006C4A65">
      <w:pPr>
        <w:pStyle w:val="Indholdsfortegnelse2"/>
        <w:tabs>
          <w:tab w:val="left" w:pos="720"/>
          <w:tab w:val="right" w:leader="dot" w:pos="6792"/>
        </w:tabs>
        <w:rPr>
          <w:rFonts w:eastAsiaTheme="minorEastAsia"/>
          <w:iCs w:val="0"/>
          <w:noProof/>
          <w:szCs w:val="22"/>
          <w:lang w:eastAsia="da-DK"/>
        </w:rPr>
      </w:pPr>
      <w:hyperlink w:anchor="_Toc54877192" w:history="1">
        <w:r w:rsidR="002C25F6" w:rsidRPr="00C25F31">
          <w:rPr>
            <w:rStyle w:val="Hyperlink"/>
            <w:noProof/>
          </w:rPr>
          <w:t>9.3</w:t>
        </w:r>
        <w:r w:rsidR="002C25F6">
          <w:rPr>
            <w:rFonts w:eastAsiaTheme="minorEastAsia"/>
            <w:iCs w:val="0"/>
            <w:noProof/>
            <w:szCs w:val="22"/>
            <w:lang w:eastAsia="da-DK"/>
          </w:rPr>
          <w:tab/>
        </w:r>
        <w:r w:rsidR="002C25F6" w:rsidRPr="00C25F31">
          <w:rPr>
            <w:rStyle w:val="Hyperlink"/>
            <w:noProof/>
          </w:rPr>
          <w:t>Børne- og Undervisningsministeriets bemærkninger og overvejelser</w:t>
        </w:r>
        <w:r w:rsidR="002C25F6">
          <w:rPr>
            <w:noProof/>
            <w:webHidden/>
          </w:rPr>
          <w:tab/>
        </w:r>
        <w:r w:rsidR="002C25F6">
          <w:rPr>
            <w:noProof/>
            <w:webHidden/>
          </w:rPr>
          <w:fldChar w:fldCharType="begin"/>
        </w:r>
        <w:r w:rsidR="002C25F6">
          <w:rPr>
            <w:noProof/>
            <w:webHidden/>
          </w:rPr>
          <w:instrText xml:space="preserve"> PAGEREF _Toc54877192 \h </w:instrText>
        </w:r>
        <w:r w:rsidR="002C25F6">
          <w:rPr>
            <w:noProof/>
            <w:webHidden/>
          </w:rPr>
        </w:r>
        <w:r w:rsidR="002C25F6">
          <w:rPr>
            <w:noProof/>
            <w:webHidden/>
          </w:rPr>
          <w:fldChar w:fldCharType="separate"/>
        </w:r>
        <w:r w:rsidR="002C25F6">
          <w:rPr>
            <w:noProof/>
            <w:webHidden/>
          </w:rPr>
          <w:t>24</w:t>
        </w:r>
        <w:r w:rsidR="002C25F6">
          <w:rPr>
            <w:noProof/>
            <w:webHidden/>
          </w:rPr>
          <w:fldChar w:fldCharType="end"/>
        </w:r>
      </w:hyperlink>
    </w:p>
    <w:p w14:paraId="6F3802FD" w14:textId="25AFF033" w:rsidR="002C25F6" w:rsidRDefault="006C4A65">
      <w:pPr>
        <w:pStyle w:val="Indholdsfortegnelse1"/>
        <w:tabs>
          <w:tab w:val="left" w:pos="720"/>
          <w:tab w:val="right" w:leader="dot" w:pos="6792"/>
        </w:tabs>
        <w:rPr>
          <w:rFonts w:eastAsiaTheme="minorEastAsia"/>
          <w:bCs w:val="0"/>
          <w:noProof/>
          <w:szCs w:val="22"/>
          <w:lang w:eastAsia="da-DK"/>
        </w:rPr>
      </w:pPr>
      <w:hyperlink w:anchor="_Toc54877193" w:history="1">
        <w:r w:rsidR="002C25F6" w:rsidRPr="00C25F31">
          <w:rPr>
            <w:rStyle w:val="Hyperlink"/>
            <w:noProof/>
          </w:rPr>
          <w:t>10.</w:t>
        </w:r>
        <w:r w:rsidR="002C25F6">
          <w:rPr>
            <w:rFonts w:eastAsiaTheme="minorEastAsia"/>
            <w:bCs w:val="0"/>
            <w:noProof/>
            <w:szCs w:val="22"/>
            <w:lang w:eastAsia="da-DK"/>
          </w:rPr>
          <w:tab/>
        </w:r>
        <w:r w:rsidR="002C25F6" w:rsidRPr="00C25F31">
          <w:rPr>
            <w:rStyle w:val="Hyperlink"/>
            <w:noProof/>
          </w:rPr>
          <w:t>Særligt om ungdomsuddannelser</w:t>
        </w:r>
        <w:r w:rsidR="002C25F6">
          <w:rPr>
            <w:noProof/>
            <w:webHidden/>
          </w:rPr>
          <w:tab/>
        </w:r>
        <w:r w:rsidR="002C25F6">
          <w:rPr>
            <w:noProof/>
            <w:webHidden/>
          </w:rPr>
          <w:fldChar w:fldCharType="begin"/>
        </w:r>
        <w:r w:rsidR="002C25F6">
          <w:rPr>
            <w:noProof/>
            <w:webHidden/>
          </w:rPr>
          <w:instrText xml:space="preserve"> PAGEREF _Toc54877193 \h </w:instrText>
        </w:r>
        <w:r w:rsidR="002C25F6">
          <w:rPr>
            <w:noProof/>
            <w:webHidden/>
          </w:rPr>
        </w:r>
        <w:r w:rsidR="002C25F6">
          <w:rPr>
            <w:noProof/>
            <w:webHidden/>
          </w:rPr>
          <w:fldChar w:fldCharType="separate"/>
        </w:r>
        <w:r w:rsidR="002C25F6">
          <w:rPr>
            <w:noProof/>
            <w:webHidden/>
          </w:rPr>
          <w:t>24</w:t>
        </w:r>
        <w:r w:rsidR="002C25F6">
          <w:rPr>
            <w:noProof/>
            <w:webHidden/>
          </w:rPr>
          <w:fldChar w:fldCharType="end"/>
        </w:r>
      </w:hyperlink>
    </w:p>
    <w:p w14:paraId="52D79E7E" w14:textId="5C337B31" w:rsidR="002C25F6" w:rsidRDefault="006C4A65">
      <w:pPr>
        <w:pStyle w:val="Indholdsfortegnelse2"/>
        <w:tabs>
          <w:tab w:val="left" w:pos="720"/>
          <w:tab w:val="right" w:leader="dot" w:pos="6792"/>
        </w:tabs>
        <w:rPr>
          <w:rFonts w:eastAsiaTheme="minorEastAsia"/>
          <w:iCs w:val="0"/>
          <w:noProof/>
          <w:szCs w:val="22"/>
          <w:lang w:eastAsia="da-DK"/>
        </w:rPr>
      </w:pPr>
      <w:hyperlink w:anchor="_Toc54877194" w:history="1">
        <w:r w:rsidR="002C25F6" w:rsidRPr="00C25F31">
          <w:rPr>
            <w:rStyle w:val="Hyperlink"/>
            <w:noProof/>
          </w:rPr>
          <w:t>10.1</w:t>
        </w:r>
        <w:r w:rsidR="002C25F6">
          <w:rPr>
            <w:rFonts w:eastAsiaTheme="minorEastAsia"/>
            <w:iCs w:val="0"/>
            <w:noProof/>
            <w:szCs w:val="22"/>
            <w:lang w:eastAsia="da-DK"/>
          </w:rPr>
          <w:tab/>
        </w:r>
        <w:r w:rsidR="002C25F6" w:rsidRPr="00C25F31">
          <w:rPr>
            <w:rStyle w:val="Hyperlink"/>
            <w:noProof/>
          </w:rPr>
          <w:t>Epinion-evalueringens centrale resultater</w:t>
        </w:r>
        <w:r w:rsidR="002C25F6">
          <w:rPr>
            <w:noProof/>
            <w:webHidden/>
          </w:rPr>
          <w:tab/>
        </w:r>
        <w:r w:rsidR="002C25F6">
          <w:rPr>
            <w:noProof/>
            <w:webHidden/>
          </w:rPr>
          <w:fldChar w:fldCharType="begin"/>
        </w:r>
        <w:r w:rsidR="002C25F6">
          <w:rPr>
            <w:noProof/>
            <w:webHidden/>
          </w:rPr>
          <w:instrText xml:space="preserve"> PAGEREF _Toc54877194 \h </w:instrText>
        </w:r>
        <w:r w:rsidR="002C25F6">
          <w:rPr>
            <w:noProof/>
            <w:webHidden/>
          </w:rPr>
        </w:r>
        <w:r w:rsidR="002C25F6">
          <w:rPr>
            <w:noProof/>
            <w:webHidden/>
          </w:rPr>
          <w:fldChar w:fldCharType="separate"/>
        </w:r>
        <w:r w:rsidR="002C25F6">
          <w:rPr>
            <w:noProof/>
            <w:webHidden/>
          </w:rPr>
          <w:t>24</w:t>
        </w:r>
        <w:r w:rsidR="002C25F6">
          <w:rPr>
            <w:noProof/>
            <w:webHidden/>
          </w:rPr>
          <w:fldChar w:fldCharType="end"/>
        </w:r>
      </w:hyperlink>
    </w:p>
    <w:p w14:paraId="34E827E8" w14:textId="5793F69F" w:rsidR="002C25F6" w:rsidRDefault="006C4A65">
      <w:pPr>
        <w:pStyle w:val="Indholdsfortegnelse2"/>
        <w:tabs>
          <w:tab w:val="left" w:pos="720"/>
          <w:tab w:val="right" w:leader="dot" w:pos="6792"/>
        </w:tabs>
        <w:rPr>
          <w:rFonts w:eastAsiaTheme="minorEastAsia"/>
          <w:iCs w:val="0"/>
          <w:noProof/>
          <w:szCs w:val="22"/>
          <w:lang w:eastAsia="da-DK"/>
        </w:rPr>
      </w:pPr>
      <w:hyperlink w:anchor="_Toc54877195" w:history="1">
        <w:r w:rsidR="002C25F6" w:rsidRPr="00C25F31">
          <w:rPr>
            <w:rStyle w:val="Hyperlink"/>
            <w:noProof/>
          </w:rPr>
          <w:t>10.2</w:t>
        </w:r>
        <w:r w:rsidR="002C25F6">
          <w:rPr>
            <w:rFonts w:eastAsiaTheme="minorEastAsia"/>
            <w:iCs w:val="0"/>
            <w:noProof/>
            <w:szCs w:val="22"/>
            <w:lang w:eastAsia="da-DK"/>
          </w:rPr>
          <w:tab/>
        </w:r>
        <w:r w:rsidR="002C25F6" w:rsidRPr="00C25F31">
          <w:rPr>
            <w:rStyle w:val="Hyperlink"/>
            <w:noProof/>
          </w:rPr>
          <w:t>Høringsparternes synspunkter i 1. høring</w:t>
        </w:r>
        <w:r w:rsidR="002C25F6">
          <w:rPr>
            <w:noProof/>
            <w:webHidden/>
          </w:rPr>
          <w:tab/>
        </w:r>
        <w:r w:rsidR="002C25F6">
          <w:rPr>
            <w:noProof/>
            <w:webHidden/>
          </w:rPr>
          <w:fldChar w:fldCharType="begin"/>
        </w:r>
        <w:r w:rsidR="002C25F6">
          <w:rPr>
            <w:noProof/>
            <w:webHidden/>
          </w:rPr>
          <w:instrText xml:space="preserve"> PAGEREF _Toc54877195 \h </w:instrText>
        </w:r>
        <w:r w:rsidR="002C25F6">
          <w:rPr>
            <w:noProof/>
            <w:webHidden/>
          </w:rPr>
        </w:r>
        <w:r w:rsidR="002C25F6">
          <w:rPr>
            <w:noProof/>
            <w:webHidden/>
          </w:rPr>
          <w:fldChar w:fldCharType="separate"/>
        </w:r>
        <w:r w:rsidR="002C25F6">
          <w:rPr>
            <w:noProof/>
            <w:webHidden/>
          </w:rPr>
          <w:t>24</w:t>
        </w:r>
        <w:r w:rsidR="002C25F6">
          <w:rPr>
            <w:noProof/>
            <w:webHidden/>
          </w:rPr>
          <w:fldChar w:fldCharType="end"/>
        </w:r>
      </w:hyperlink>
    </w:p>
    <w:p w14:paraId="494FCAD8" w14:textId="29DD48C1" w:rsidR="002C25F6" w:rsidRDefault="006C4A65">
      <w:pPr>
        <w:pStyle w:val="Indholdsfortegnelse2"/>
        <w:tabs>
          <w:tab w:val="left" w:pos="720"/>
          <w:tab w:val="right" w:leader="dot" w:pos="6792"/>
        </w:tabs>
        <w:rPr>
          <w:rFonts w:eastAsiaTheme="minorEastAsia"/>
          <w:iCs w:val="0"/>
          <w:noProof/>
          <w:szCs w:val="22"/>
          <w:lang w:eastAsia="da-DK"/>
        </w:rPr>
      </w:pPr>
      <w:hyperlink w:anchor="_Toc54877196" w:history="1">
        <w:r w:rsidR="002C25F6" w:rsidRPr="00C25F31">
          <w:rPr>
            <w:rStyle w:val="Hyperlink"/>
            <w:noProof/>
          </w:rPr>
          <w:t>10.3</w:t>
        </w:r>
        <w:r w:rsidR="002C25F6">
          <w:rPr>
            <w:rFonts w:eastAsiaTheme="minorEastAsia"/>
            <w:iCs w:val="0"/>
            <w:noProof/>
            <w:szCs w:val="22"/>
            <w:lang w:eastAsia="da-DK"/>
          </w:rPr>
          <w:tab/>
        </w:r>
        <w:r w:rsidR="002C25F6" w:rsidRPr="00C25F31">
          <w:rPr>
            <w:rStyle w:val="Hyperlink"/>
            <w:noProof/>
          </w:rPr>
          <w:t>Børne- og Undervisningsministeriets bemærkninger og overvejelser</w:t>
        </w:r>
        <w:r w:rsidR="002C25F6">
          <w:rPr>
            <w:noProof/>
            <w:webHidden/>
          </w:rPr>
          <w:tab/>
        </w:r>
        <w:r w:rsidR="002C25F6">
          <w:rPr>
            <w:noProof/>
            <w:webHidden/>
          </w:rPr>
          <w:fldChar w:fldCharType="begin"/>
        </w:r>
        <w:r w:rsidR="002C25F6">
          <w:rPr>
            <w:noProof/>
            <w:webHidden/>
          </w:rPr>
          <w:instrText xml:space="preserve"> PAGEREF _Toc54877196 \h </w:instrText>
        </w:r>
        <w:r w:rsidR="002C25F6">
          <w:rPr>
            <w:noProof/>
            <w:webHidden/>
          </w:rPr>
        </w:r>
        <w:r w:rsidR="002C25F6">
          <w:rPr>
            <w:noProof/>
            <w:webHidden/>
          </w:rPr>
          <w:fldChar w:fldCharType="separate"/>
        </w:r>
        <w:r w:rsidR="002C25F6">
          <w:rPr>
            <w:noProof/>
            <w:webHidden/>
          </w:rPr>
          <w:t>25</w:t>
        </w:r>
        <w:r w:rsidR="002C25F6">
          <w:rPr>
            <w:noProof/>
            <w:webHidden/>
          </w:rPr>
          <w:fldChar w:fldCharType="end"/>
        </w:r>
      </w:hyperlink>
    </w:p>
    <w:p w14:paraId="152598F6" w14:textId="0663EFC3" w:rsidR="002C25F6" w:rsidRDefault="006C4A65">
      <w:pPr>
        <w:pStyle w:val="Indholdsfortegnelse1"/>
        <w:tabs>
          <w:tab w:val="left" w:pos="720"/>
          <w:tab w:val="right" w:leader="dot" w:pos="6792"/>
        </w:tabs>
        <w:rPr>
          <w:rFonts w:eastAsiaTheme="minorEastAsia"/>
          <w:bCs w:val="0"/>
          <w:noProof/>
          <w:szCs w:val="22"/>
          <w:lang w:eastAsia="da-DK"/>
        </w:rPr>
      </w:pPr>
      <w:hyperlink w:anchor="_Toc54877197" w:history="1">
        <w:r w:rsidR="002C25F6" w:rsidRPr="00C25F31">
          <w:rPr>
            <w:rStyle w:val="Hyperlink"/>
            <w:noProof/>
          </w:rPr>
          <w:t>11.</w:t>
        </w:r>
        <w:r w:rsidR="002C25F6">
          <w:rPr>
            <w:rFonts w:eastAsiaTheme="minorEastAsia"/>
            <w:bCs w:val="0"/>
            <w:noProof/>
            <w:szCs w:val="22"/>
            <w:lang w:eastAsia="da-DK"/>
          </w:rPr>
          <w:tab/>
        </w:r>
        <w:r w:rsidR="002C25F6" w:rsidRPr="00C25F31">
          <w:rPr>
            <w:rStyle w:val="Hyperlink"/>
            <w:noProof/>
          </w:rPr>
          <w:t>Konklusion</w:t>
        </w:r>
        <w:r w:rsidR="002C25F6">
          <w:rPr>
            <w:noProof/>
            <w:webHidden/>
          </w:rPr>
          <w:tab/>
        </w:r>
        <w:r w:rsidR="002C25F6">
          <w:rPr>
            <w:noProof/>
            <w:webHidden/>
          </w:rPr>
          <w:fldChar w:fldCharType="begin"/>
        </w:r>
        <w:r w:rsidR="002C25F6">
          <w:rPr>
            <w:noProof/>
            <w:webHidden/>
          </w:rPr>
          <w:instrText xml:space="preserve"> PAGEREF _Toc54877197 \h </w:instrText>
        </w:r>
        <w:r w:rsidR="002C25F6">
          <w:rPr>
            <w:noProof/>
            <w:webHidden/>
          </w:rPr>
        </w:r>
        <w:r w:rsidR="002C25F6">
          <w:rPr>
            <w:noProof/>
            <w:webHidden/>
          </w:rPr>
          <w:fldChar w:fldCharType="separate"/>
        </w:r>
        <w:r w:rsidR="002C25F6">
          <w:rPr>
            <w:noProof/>
            <w:webHidden/>
          </w:rPr>
          <w:t>25</w:t>
        </w:r>
        <w:r w:rsidR="002C25F6">
          <w:rPr>
            <w:noProof/>
            <w:webHidden/>
          </w:rPr>
          <w:fldChar w:fldCharType="end"/>
        </w:r>
      </w:hyperlink>
    </w:p>
    <w:p w14:paraId="0BA43523" w14:textId="15BB9FBB" w:rsidR="00183328" w:rsidRPr="000D4513" w:rsidRDefault="007C4F82" w:rsidP="007061AD">
      <w:pPr>
        <w:pStyle w:val="Brdtekst"/>
        <w:outlineLvl w:val="0"/>
        <w:rPr>
          <w:rFonts w:eastAsiaTheme="minorHAnsi" w:cstheme="minorBidi"/>
          <w:bCs/>
          <w:caps/>
          <w:szCs w:val="22"/>
          <w:lang w:eastAsia="en-US"/>
        </w:rPr>
      </w:pPr>
      <w:r w:rsidRPr="000D4513">
        <w:rPr>
          <w:rFonts w:eastAsiaTheme="minorHAnsi" w:cstheme="minorBidi"/>
          <w:bCs/>
          <w:caps/>
          <w:szCs w:val="22"/>
          <w:lang w:eastAsia="en-US"/>
        </w:rPr>
        <w:fldChar w:fldCharType="end"/>
      </w:r>
    </w:p>
    <w:p w14:paraId="359727CD" w14:textId="5EF03572" w:rsidR="00241A45" w:rsidRPr="000D4513" w:rsidRDefault="00241A45" w:rsidP="007061AD">
      <w:pPr>
        <w:pStyle w:val="Brdtekst"/>
        <w:outlineLvl w:val="0"/>
        <w:rPr>
          <w:rFonts w:eastAsiaTheme="minorHAnsi" w:cstheme="minorBidi"/>
          <w:bCs/>
          <w:caps/>
          <w:szCs w:val="22"/>
          <w:lang w:eastAsia="en-US"/>
        </w:rPr>
      </w:pPr>
    </w:p>
    <w:p w14:paraId="5EF74C54" w14:textId="371FA97B" w:rsidR="00B47587" w:rsidRPr="000D4513" w:rsidRDefault="00B47587" w:rsidP="00B47587">
      <w:pPr>
        <w:pStyle w:val="Overskrift1"/>
        <w:ind w:left="425" w:hanging="425"/>
        <w:rPr>
          <w:szCs w:val="22"/>
        </w:rPr>
      </w:pPr>
      <w:bookmarkStart w:id="1" w:name="_Toc54877171"/>
      <w:bookmarkStart w:id="2" w:name="_Toc50645522"/>
      <w:bookmarkStart w:id="3" w:name="_Ref53154097"/>
      <w:r w:rsidRPr="000D4513">
        <w:rPr>
          <w:szCs w:val="22"/>
        </w:rPr>
        <w:t>Sammenfatning</w:t>
      </w:r>
      <w:bookmarkEnd w:id="1"/>
    </w:p>
    <w:p w14:paraId="646925D4" w14:textId="46E92956" w:rsidR="00E664EA" w:rsidRPr="000D4513" w:rsidRDefault="005E3D59" w:rsidP="00E664EA">
      <w:pPr>
        <w:pStyle w:val="Brdtekst"/>
        <w:rPr>
          <w:szCs w:val="22"/>
        </w:rPr>
      </w:pPr>
      <w:r w:rsidRPr="000D4513">
        <w:rPr>
          <w:szCs w:val="22"/>
        </w:rPr>
        <w:t>L</w:t>
      </w:r>
      <w:r w:rsidR="00E664EA" w:rsidRPr="000D4513">
        <w:rPr>
          <w:szCs w:val="22"/>
        </w:rPr>
        <w:t xml:space="preserve">ovovervågningen og denne redegørelse har til formål at vurdere, </w:t>
      </w:r>
      <w:r w:rsidR="00454340">
        <w:rPr>
          <w:szCs w:val="22"/>
        </w:rPr>
        <w:t>i hvilket omfang</w:t>
      </w:r>
      <w:r w:rsidR="00E664EA" w:rsidRPr="000D4513">
        <w:rPr>
          <w:szCs w:val="22"/>
        </w:rPr>
        <w:t xml:space="preserve"> undervisningsmiljølovens bestemmelser om antimobning, klageordning og tilsyn, som blev indført i 2017, har haft den tilsigtede virkning.</w:t>
      </w:r>
    </w:p>
    <w:p w14:paraId="30DD14BA" w14:textId="68195CED" w:rsidR="00E664EA" w:rsidRPr="000D4513" w:rsidRDefault="00E664EA" w:rsidP="00E664EA">
      <w:pPr>
        <w:pStyle w:val="Brdtekst"/>
        <w:rPr>
          <w:szCs w:val="22"/>
        </w:rPr>
      </w:pPr>
    </w:p>
    <w:p w14:paraId="300ED57B" w14:textId="30F7B3DA" w:rsidR="00A92B01" w:rsidRPr="000D4513" w:rsidRDefault="00A92B01" w:rsidP="00E664EA">
      <w:pPr>
        <w:pStyle w:val="Brdtekst"/>
        <w:rPr>
          <w:szCs w:val="22"/>
        </w:rPr>
      </w:pPr>
      <w:r w:rsidRPr="000D4513">
        <w:rPr>
          <w:szCs w:val="22"/>
        </w:rPr>
        <w:t xml:space="preserve">Redegørelsen har baggrund i en samlet evaluering af de nye ordninger gennemført </w:t>
      </w:r>
      <w:r w:rsidR="009F5D72" w:rsidRPr="000D4513">
        <w:rPr>
          <w:szCs w:val="22"/>
        </w:rPr>
        <w:t xml:space="preserve">af Epinion </w:t>
      </w:r>
      <w:r w:rsidRPr="000D4513">
        <w:rPr>
          <w:szCs w:val="22"/>
        </w:rPr>
        <w:t xml:space="preserve">i foråret 2020 samt to eksterne høringsrunder </w:t>
      </w:r>
      <w:r w:rsidR="009F5D72" w:rsidRPr="000D4513">
        <w:rPr>
          <w:szCs w:val="22"/>
        </w:rPr>
        <w:t>gennemfø</w:t>
      </w:r>
      <w:r w:rsidRPr="000D4513">
        <w:rPr>
          <w:szCs w:val="22"/>
        </w:rPr>
        <w:t>rt i efteråret 202</w:t>
      </w:r>
      <w:r w:rsidR="0097627C" w:rsidRPr="000D4513">
        <w:rPr>
          <w:szCs w:val="22"/>
        </w:rPr>
        <w:t>0 samt i to eksterne høringsrunder med relevante organisationer og myndigheder.</w:t>
      </w:r>
    </w:p>
    <w:p w14:paraId="5272D3EF" w14:textId="77777777" w:rsidR="00A92B01" w:rsidRPr="000D4513" w:rsidRDefault="00A92B01" w:rsidP="00E664EA">
      <w:pPr>
        <w:pStyle w:val="Brdtekst"/>
        <w:rPr>
          <w:szCs w:val="22"/>
        </w:rPr>
      </w:pPr>
    </w:p>
    <w:p w14:paraId="77D4805F" w14:textId="79E3A646" w:rsidR="00A92B01" w:rsidRPr="000D4513" w:rsidRDefault="00E664EA" w:rsidP="00E664EA">
      <w:pPr>
        <w:pStyle w:val="Brdtekst"/>
        <w:rPr>
          <w:szCs w:val="22"/>
        </w:rPr>
      </w:pPr>
      <w:r w:rsidRPr="000D4513">
        <w:rPr>
          <w:szCs w:val="22"/>
        </w:rPr>
        <w:t xml:space="preserve">Holder man sig </w:t>
      </w:r>
      <w:r w:rsidR="00A92B01" w:rsidRPr="000D4513">
        <w:rPr>
          <w:szCs w:val="22"/>
        </w:rPr>
        <w:t>lovændringernes</w:t>
      </w:r>
      <w:r w:rsidRPr="000D4513">
        <w:rPr>
          <w:szCs w:val="22"/>
        </w:rPr>
        <w:t xml:space="preserve"> målsætninger helt bogstaveligt for øje, vil</w:t>
      </w:r>
      <w:r w:rsidR="00A92B01" w:rsidRPr="000D4513">
        <w:rPr>
          <w:szCs w:val="22"/>
        </w:rPr>
        <w:t>le</w:t>
      </w:r>
      <w:r w:rsidRPr="000D4513">
        <w:rPr>
          <w:szCs w:val="22"/>
        </w:rPr>
        <w:t xml:space="preserve"> </w:t>
      </w:r>
      <w:r w:rsidR="00A92B01" w:rsidRPr="000D4513">
        <w:rPr>
          <w:szCs w:val="22"/>
        </w:rPr>
        <w:t xml:space="preserve">konklusionen </w:t>
      </w:r>
      <w:r w:rsidR="002C25F6">
        <w:rPr>
          <w:szCs w:val="22"/>
        </w:rPr>
        <w:t>på</w:t>
      </w:r>
      <w:r w:rsidR="00A92B01" w:rsidRPr="000D4513">
        <w:rPr>
          <w:szCs w:val="22"/>
        </w:rPr>
        <w:t xml:space="preserve"> </w:t>
      </w:r>
      <w:r w:rsidRPr="000D4513">
        <w:rPr>
          <w:szCs w:val="22"/>
        </w:rPr>
        <w:t xml:space="preserve">redegørelsens gennemgang </w:t>
      </w:r>
      <w:r w:rsidR="00A92B01" w:rsidRPr="000D4513">
        <w:rPr>
          <w:szCs w:val="22"/>
        </w:rPr>
        <w:t>utvivlsom</w:t>
      </w:r>
      <w:r w:rsidR="0097627C" w:rsidRPr="000D4513">
        <w:rPr>
          <w:szCs w:val="22"/>
        </w:rPr>
        <w:t>t</w:t>
      </w:r>
      <w:r w:rsidR="00A92B01" w:rsidRPr="000D4513">
        <w:rPr>
          <w:szCs w:val="22"/>
        </w:rPr>
        <w:t xml:space="preserve"> være</w:t>
      </w:r>
      <w:r w:rsidRPr="000D4513">
        <w:rPr>
          <w:szCs w:val="22"/>
        </w:rPr>
        <w:t xml:space="preserve">, at de nye ordninger ikke fuldt ud har haft den tilsigtede virkning. </w:t>
      </w:r>
    </w:p>
    <w:p w14:paraId="5C63E67C" w14:textId="77777777" w:rsidR="00A92B01" w:rsidRPr="000D4513" w:rsidRDefault="00A92B01" w:rsidP="00E664EA">
      <w:pPr>
        <w:pStyle w:val="Brdtekst"/>
        <w:rPr>
          <w:szCs w:val="22"/>
        </w:rPr>
      </w:pPr>
    </w:p>
    <w:p w14:paraId="357973AC" w14:textId="3200E3E4" w:rsidR="00E664EA" w:rsidRPr="000D4513" w:rsidRDefault="00E664EA" w:rsidP="00A92B01">
      <w:pPr>
        <w:pStyle w:val="Brdtekst"/>
        <w:rPr>
          <w:szCs w:val="22"/>
        </w:rPr>
      </w:pPr>
      <w:r w:rsidRPr="000D4513">
        <w:rPr>
          <w:szCs w:val="22"/>
        </w:rPr>
        <w:t>Det</w:t>
      </w:r>
      <w:r w:rsidR="00A92B01" w:rsidRPr="000D4513">
        <w:rPr>
          <w:szCs w:val="22"/>
        </w:rPr>
        <w:t xml:space="preserve">te vurderes </w:t>
      </w:r>
      <w:r w:rsidRPr="000D4513">
        <w:rPr>
          <w:szCs w:val="22"/>
        </w:rPr>
        <w:t>omvendt ikke</w:t>
      </w:r>
      <w:r w:rsidR="0097627C" w:rsidRPr="000D4513">
        <w:rPr>
          <w:szCs w:val="22"/>
        </w:rPr>
        <w:t xml:space="preserve"> at være</w:t>
      </w:r>
      <w:r w:rsidRPr="000D4513">
        <w:rPr>
          <w:szCs w:val="22"/>
        </w:rPr>
        <w:t xml:space="preserve"> ensbetydende med, at de nye ordninger slet ikke haft </w:t>
      </w:r>
      <w:r w:rsidR="00C06B07">
        <w:rPr>
          <w:szCs w:val="22"/>
        </w:rPr>
        <w:t>nog</w:t>
      </w:r>
      <w:r w:rsidRPr="000D4513">
        <w:rPr>
          <w:szCs w:val="22"/>
        </w:rPr>
        <w:t>en</w:t>
      </w:r>
      <w:r w:rsidR="00C06B07">
        <w:rPr>
          <w:szCs w:val="22"/>
        </w:rPr>
        <w:t xml:space="preserve"> af de</w:t>
      </w:r>
      <w:r w:rsidRPr="000D4513">
        <w:rPr>
          <w:szCs w:val="22"/>
        </w:rPr>
        <w:t xml:space="preserve"> tilsigtede virkning</w:t>
      </w:r>
      <w:r w:rsidR="00C06B07">
        <w:rPr>
          <w:szCs w:val="22"/>
        </w:rPr>
        <w:t>er</w:t>
      </w:r>
      <w:r w:rsidRPr="000D4513">
        <w:rPr>
          <w:szCs w:val="22"/>
        </w:rPr>
        <w:t xml:space="preserve">. </w:t>
      </w:r>
      <w:r w:rsidR="00A92B01" w:rsidRPr="000D4513">
        <w:rPr>
          <w:szCs w:val="22"/>
        </w:rPr>
        <w:t>Det er utvivlsomt, at</w:t>
      </w:r>
      <w:r w:rsidRPr="000D4513">
        <w:rPr>
          <w:szCs w:val="22"/>
        </w:rPr>
        <w:t xml:space="preserve"> de nye ordninger har haft en betydning for og har skabt et nybrud i indsatsen mod mobning</w:t>
      </w:r>
      <w:r w:rsidR="0097627C" w:rsidRPr="000D4513">
        <w:rPr>
          <w:szCs w:val="22"/>
        </w:rPr>
        <w:t xml:space="preserve"> på uddannelsesstederne</w:t>
      </w:r>
      <w:r w:rsidRPr="000D4513">
        <w:rPr>
          <w:szCs w:val="22"/>
        </w:rPr>
        <w:t>.</w:t>
      </w:r>
    </w:p>
    <w:p w14:paraId="0F574EAD" w14:textId="77777777" w:rsidR="00E664EA" w:rsidRPr="000D4513" w:rsidRDefault="00E664EA" w:rsidP="00E664EA">
      <w:pPr>
        <w:pStyle w:val="Brdtekst"/>
        <w:rPr>
          <w:szCs w:val="22"/>
        </w:rPr>
      </w:pPr>
    </w:p>
    <w:p w14:paraId="12590885" w14:textId="7C5B4DA2" w:rsidR="00E664EA" w:rsidRPr="000D4513" w:rsidRDefault="002C25F6" w:rsidP="00E664EA">
      <w:pPr>
        <w:pStyle w:val="Brdtekst"/>
        <w:rPr>
          <w:szCs w:val="22"/>
        </w:rPr>
      </w:pPr>
      <w:r>
        <w:rPr>
          <w:szCs w:val="22"/>
        </w:rPr>
        <w:t>Evalueringen og høringen</w:t>
      </w:r>
      <w:r w:rsidR="00E664EA" w:rsidRPr="000D4513">
        <w:rPr>
          <w:szCs w:val="22"/>
        </w:rPr>
        <w:t xml:space="preserve"> viser, at der overordnet </w:t>
      </w:r>
      <w:r>
        <w:rPr>
          <w:szCs w:val="22"/>
        </w:rPr>
        <w:t>ses et</w:t>
      </w:r>
      <w:r w:rsidR="00E664EA" w:rsidRPr="000D4513">
        <w:rPr>
          <w:szCs w:val="22"/>
        </w:rPr>
        <w:t xml:space="preserve"> </w:t>
      </w:r>
      <w:r w:rsidR="00A92B01" w:rsidRPr="000D4513">
        <w:rPr>
          <w:szCs w:val="22"/>
        </w:rPr>
        <w:t xml:space="preserve">behov </w:t>
      </w:r>
      <w:r w:rsidR="00821987" w:rsidRPr="000D4513">
        <w:rPr>
          <w:szCs w:val="22"/>
        </w:rPr>
        <w:t>for</w:t>
      </w:r>
      <w:r w:rsidR="00A92B01" w:rsidRPr="000D4513">
        <w:rPr>
          <w:szCs w:val="22"/>
        </w:rPr>
        <w:t xml:space="preserve"> en </w:t>
      </w:r>
      <w:r w:rsidR="00E664EA" w:rsidRPr="000D4513">
        <w:rPr>
          <w:szCs w:val="22"/>
        </w:rPr>
        <w:t>klage</w:t>
      </w:r>
      <w:r w:rsidR="00A92B01" w:rsidRPr="000D4513">
        <w:rPr>
          <w:szCs w:val="22"/>
        </w:rPr>
        <w:t>ordning</w:t>
      </w:r>
      <w:r w:rsidR="00E664EA" w:rsidRPr="000D4513">
        <w:rPr>
          <w:szCs w:val="22"/>
        </w:rPr>
        <w:t xml:space="preserve"> og </w:t>
      </w:r>
      <w:r w:rsidR="00A92B01" w:rsidRPr="000D4513">
        <w:rPr>
          <w:szCs w:val="22"/>
        </w:rPr>
        <w:t xml:space="preserve">en </w:t>
      </w:r>
      <w:r w:rsidR="00E664EA" w:rsidRPr="000D4513">
        <w:rPr>
          <w:szCs w:val="22"/>
        </w:rPr>
        <w:t>klageinstans</w:t>
      </w:r>
      <w:r>
        <w:rPr>
          <w:szCs w:val="22"/>
        </w:rPr>
        <w:t>. I</w:t>
      </w:r>
      <w:r w:rsidR="00E664EA" w:rsidRPr="000D4513">
        <w:rPr>
          <w:szCs w:val="22"/>
        </w:rPr>
        <w:t>ndtryk</w:t>
      </w:r>
      <w:r>
        <w:rPr>
          <w:szCs w:val="22"/>
        </w:rPr>
        <w:t>ket af evalueringen og høringen</w:t>
      </w:r>
      <w:r w:rsidRPr="000D4513">
        <w:rPr>
          <w:szCs w:val="22"/>
        </w:rPr>
        <w:t xml:space="preserve"> </w:t>
      </w:r>
      <w:r>
        <w:rPr>
          <w:szCs w:val="22"/>
        </w:rPr>
        <w:t>er også</w:t>
      </w:r>
      <w:r w:rsidR="00E664EA" w:rsidRPr="000D4513">
        <w:rPr>
          <w:szCs w:val="22"/>
        </w:rPr>
        <w:t>, at bestemmelserne om antimobning, klageordning og klageinstans samt tilsyn på den baggrund grundlæggende har været til gavn for det konkrete arbejde mod mobning på uddannelsesstederne.</w:t>
      </w:r>
    </w:p>
    <w:p w14:paraId="7CA88B23" w14:textId="221C6E54" w:rsidR="00E664EA" w:rsidRPr="000D4513" w:rsidRDefault="00E664EA" w:rsidP="00E664EA">
      <w:pPr>
        <w:rPr>
          <w:szCs w:val="22"/>
        </w:rPr>
      </w:pPr>
    </w:p>
    <w:p w14:paraId="37C158B8" w14:textId="54AFB2BB" w:rsidR="00A92B01" w:rsidRPr="000D4513" w:rsidRDefault="00A92B01" w:rsidP="00A92B01">
      <w:pPr>
        <w:pStyle w:val="Brdtekst"/>
        <w:rPr>
          <w:szCs w:val="22"/>
        </w:rPr>
      </w:pPr>
      <w:r w:rsidRPr="000D4513">
        <w:rPr>
          <w:szCs w:val="22"/>
        </w:rPr>
        <w:t>Redegørelsen viser endvidere, at implementering endnu ikke alle steder er slået igennem fuldt ud, og at der er behov for en længere implementeringsperiode end den forløbne.</w:t>
      </w:r>
    </w:p>
    <w:p w14:paraId="69D4EF5F" w14:textId="77777777" w:rsidR="00A92B01" w:rsidRPr="000D4513" w:rsidRDefault="00A92B01" w:rsidP="00E664EA">
      <w:pPr>
        <w:rPr>
          <w:szCs w:val="22"/>
        </w:rPr>
      </w:pPr>
    </w:p>
    <w:p w14:paraId="68EEC017" w14:textId="2FD78B4B" w:rsidR="00E664EA" w:rsidRPr="000D4513" w:rsidRDefault="00A92B01" w:rsidP="00E664EA">
      <w:pPr>
        <w:rPr>
          <w:rFonts w:eastAsia="Times New Roman" w:cs="Times New Roman"/>
          <w:color w:val="000000"/>
          <w:szCs w:val="22"/>
          <w:lang w:eastAsia="da-DK"/>
        </w:rPr>
      </w:pPr>
      <w:r w:rsidRPr="000D4513">
        <w:rPr>
          <w:szCs w:val="22"/>
        </w:rPr>
        <w:t xml:space="preserve">Redegørelsen viser endelig, at </w:t>
      </w:r>
      <w:r w:rsidR="00E664EA" w:rsidRPr="000D4513">
        <w:rPr>
          <w:rFonts w:eastAsia="Times New Roman" w:cs="Times New Roman"/>
          <w:color w:val="000000"/>
          <w:szCs w:val="22"/>
          <w:lang w:eastAsia="da-DK"/>
        </w:rPr>
        <w:t xml:space="preserve">bestemmelserne om og procedurerne i forbindelse med </w:t>
      </w:r>
      <w:r w:rsidR="0097627C" w:rsidRPr="000D4513">
        <w:rPr>
          <w:rFonts w:eastAsia="Times New Roman" w:cs="Times New Roman"/>
          <w:color w:val="000000"/>
          <w:szCs w:val="22"/>
          <w:lang w:eastAsia="da-DK"/>
        </w:rPr>
        <w:t xml:space="preserve">bl.a. </w:t>
      </w:r>
      <w:r w:rsidR="00E664EA" w:rsidRPr="000D4513">
        <w:rPr>
          <w:szCs w:val="22"/>
        </w:rPr>
        <w:t>antimobbestrategier, handlingsplaner og klage</w:t>
      </w:r>
      <w:r w:rsidR="00E664EA" w:rsidRPr="000D4513">
        <w:rPr>
          <w:rFonts w:eastAsia="Times New Roman" w:cs="Times New Roman"/>
          <w:color w:val="000000"/>
          <w:szCs w:val="22"/>
          <w:lang w:eastAsia="da-DK"/>
        </w:rPr>
        <w:t>ordning kan forbedres og forfines på en række områder.</w:t>
      </w:r>
    </w:p>
    <w:p w14:paraId="2A4C0E4B" w14:textId="77777777" w:rsidR="00E664EA" w:rsidRPr="000D4513" w:rsidRDefault="00E664EA" w:rsidP="00E664EA">
      <w:pPr>
        <w:rPr>
          <w:rFonts w:eastAsia="Times New Roman" w:cs="Times New Roman"/>
          <w:color w:val="000000"/>
          <w:szCs w:val="22"/>
          <w:lang w:eastAsia="da-DK"/>
        </w:rPr>
      </w:pPr>
    </w:p>
    <w:p w14:paraId="362E5667" w14:textId="13F35DAC" w:rsidR="00E664EA" w:rsidRDefault="00E664EA" w:rsidP="00E664EA">
      <w:pPr>
        <w:rPr>
          <w:rFonts w:eastAsia="Times New Roman" w:cs="Times New Roman"/>
          <w:color w:val="000000"/>
          <w:szCs w:val="22"/>
          <w:lang w:eastAsia="da-DK"/>
        </w:rPr>
      </w:pPr>
      <w:r w:rsidRPr="000D4513">
        <w:rPr>
          <w:szCs w:val="22"/>
        </w:rPr>
        <w:t xml:space="preserve">Det er på den anførte baggrund </w:t>
      </w:r>
      <w:r w:rsidR="006B2D7C" w:rsidRPr="000D4513">
        <w:rPr>
          <w:szCs w:val="22"/>
        </w:rPr>
        <w:t>redegørelsens</w:t>
      </w:r>
      <w:r w:rsidRPr="000D4513">
        <w:rPr>
          <w:szCs w:val="22"/>
        </w:rPr>
        <w:t xml:space="preserve"> overordnede anbefaling, at de nye ordninger videreføres. For så vidt angår klageordningen og klageinstansen </w:t>
      </w:r>
      <w:r w:rsidR="00A92B01" w:rsidRPr="000D4513">
        <w:rPr>
          <w:szCs w:val="22"/>
        </w:rPr>
        <w:t>bemærkes, at en imø</w:t>
      </w:r>
      <w:r w:rsidRPr="000D4513">
        <w:rPr>
          <w:szCs w:val="22"/>
        </w:rPr>
        <w:t>dekommelse af denne anbefaling</w:t>
      </w:r>
      <w:r w:rsidR="00A92B01" w:rsidRPr="000D4513">
        <w:rPr>
          <w:szCs w:val="22"/>
        </w:rPr>
        <w:t xml:space="preserve"> forudsætte</w:t>
      </w:r>
      <w:r w:rsidR="006B2D7C" w:rsidRPr="000D4513">
        <w:rPr>
          <w:szCs w:val="22"/>
        </w:rPr>
        <w:t>r</w:t>
      </w:r>
      <w:r w:rsidRPr="000D4513">
        <w:rPr>
          <w:szCs w:val="22"/>
        </w:rPr>
        <w:t xml:space="preserve">, at Folketinget vedtager en ændring af den solnedgangsklausul, som </w:t>
      </w:r>
      <w:r w:rsidR="006B2D7C" w:rsidRPr="000D4513">
        <w:rPr>
          <w:szCs w:val="22"/>
        </w:rPr>
        <w:t xml:space="preserve">i loven </w:t>
      </w:r>
      <w:r w:rsidRPr="000D4513">
        <w:rPr>
          <w:szCs w:val="22"/>
        </w:rPr>
        <w:t xml:space="preserve">indebærer, at </w:t>
      </w:r>
      <w:r w:rsidR="0097627C" w:rsidRPr="000D4513">
        <w:rPr>
          <w:szCs w:val="22"/>
        </w:rPr>
        <w:t>disse</w:t>
      </w:r>
      <w:r w:rsidRPr="000D4513">
        <w:rPr>
          <w:szCs w:val="22"/>
        </w:rPr>
        <w:t xml:space="preserve"> ordninger automatisk ophører den 31. juli 2022.</w:t>
      </w:r>
      <w:r w:rsidR="00C06B07">
        <w:rPr>
          <w:szCs w:val="22"/>
        </w:rPr>
        <w:t xml:space="preserve"> Et lovforslag herom vil </w:t>
      </w:r>
      <w:r w:rsidR="000F3D24">
        <w:rPr>
          <w:szCs w:val="22"/>
        </w:rPr>
        <w:t xml:space="preserve">senest </w:t>
      </w:r>
      <w:r w:rsidR="00C06B07">
        <w:rPr>
          <w:szCs w:val="22"/>
        </w:rPr>
        <w:t xml:space="preserve">skulle fremsættes i </w:t>
      </w:r>
      <w:r w:rsidR="002C25F6">
        <w:rPr>
          <w:rFonts w:eastAsia="Times New Roman" w:cs="Times New Roman"/>
          <w:color w:val="000000"/>
          <w:szCs w:val="22"/>
          <w:lang w:eastAsia="da-DK"/>
        </w:rPr>
        <w:t>f</w:t>
      </w:r>
      <w:r w:rsidR="00C06B07">
        <w:rPr>
          <w:rFonts w:eastAsia="Times New Roman" w:cs="Times New Roman"/>
          <w:color w:val="000000"/>
          <w:szCs w:val="22"/>
          <w:lang w:eastAsia="da-DK"/>
        </w:rPr>
        <w:t>olketingssamlingen</w:t>
      </w:r>
      <w:r w:rsidR="00C06B07" w:rsidRPr="000D4513">
        <w:rPr>
          <w:rFonts w:eastAsia="Times New Roman" w:cs="Times New Roman"/>
          <w:color w:val="000000"/>
          <w:szCs w:val="22"/>
          <w:lang w:eastAsia="da-DK"/>
        </w:rPr>
        <w:t xml:space="preserve"> 20</w:t>
      </w:r>
      <w:r w:rsidR="00C06B07">
        <w:rPr>
          <w:rFonts w:eastAsia="Times New Roman" w:cs="Times New Roman"/>
          <w:color w:val="000000"/>
          <w:szCs w:val="22"/>
          <w:lang w:eastAsia="da-DK"/>
        </w:rPr>
        <w:t>21-</w:t>
      </w:r>
      <w:r w:rsidR="00C06B07" w:rsidRPr="000D4513">
        <w:rPr>
          <w:rFonts w:eastAsia="Times New Roman" w:cs="Times New Roman"/>
          <w:color w:val="000000"/>
          <w:szCs w:val="22"/>
          <w:lang w:eastAsia="da-DK"/>
        </w:rPr>
        <w:t>22</w:t>
      </w:r>
      <w:r w:rsidR="00C06B07">
        <w:rPr>
          <w:rFonts w:eastAsia="Times New Roman" w:cs="Times New Roman"/>
          <w:color w:val="000000"/>
          <w:szCs w:val="22"/>
          <w:lang w:eastAsia="da-DK"/>
        </w:rPr>
        <w:t>.</w:t>
      </w:r>
    </w:p>
    <w:p w14:paraId="65907FBF" w14:textId="77777777" w:rsidR="0005411B" w:rsidRPr="000D4513" w:rsidRDefault="0005411B" w:rsidP="00E664EA">
      <w:pPr>
        <w:rPr>
          <w:rFonts w:eastAsia="Times New Roman" w:cs="Times New Roman"/>
          <w:color w:val="000000"/>
          <w:szCs w:val="22"/>
          <w:lang w:eastAsia="da-DK"/>
        </w:rPr>
      </w:pPr>
    </w:p>
    <w:p w14:paraId="17B3B3E9" w14:textId="77E1C718" w:rsidR="00E664EA" w:rsidRPr="000D4513" w:rsidRDefault="006B2D7C" w:rsidP="00E664EA">
      <w:pPr>
        <w:rPr>
          <w:rFonts w:eastAsia="Times New Roman" w:cs="Times New Roman"/>
          <w:color w:val="000000"/>
          <w:szCs w:val="22"/>
          <w:lang w:eastAsia="da-DK"/>
        </w:rPr>
      </w:pPr>
      <w:r w:rsidRPr="000D4513">
        <w:rPr>
          <w:rFonts w:eastAsia="Times New Roman" w:cs="Times New Roman"/>
          <w:color w:val="000000"/>
          <w:szCs w:val="22"/>
          <w:lang w:eastAsia="da-DK"/>
        </w:rPr>
        <w:t>I redegørelsen</w:t>
      </w:r>
      <w:r w:rsidR="00E664EA" w:rsidRPr="000D4513">
        <w:rPr>
          <w:rFonts w:eastAsia="Times New Roman" w:cs="Times New Roman"/>
          <w:color w:val="000000"/>
          <w:szCs w:val="22"/>
          <w:lang w:eastAsia="da-DK"/>
        </w:rPr>
        <w:t xml:space="preserve"> anbefale</w:t>
      </w:r>
      <w:r w:rsidRPr="000D4513">
        <w:rPr>
          <w:rFonts w:eastAsia="Times New Roman" w:cs="Times New Roman"/>
          <w:color w:val="000000"/>
          <w:szCs w:val="22"/>
          <w:lang w:eastAsia="da-DK"/>
        </w:rPr>
        <w:t xml:space="preserve">s </w:t>
      </w:r>
      <w:r w:rsidR="00E664EA" w:rsidRPr="000D4513">
        <w:rPr>
          <w:rFonts w:eastAsia="Times New Roman" w:cs="Times New Roman"/>
          <w:color w:val="000000"/>
          <w:szCs w:val="22"/>
          <w:lang w:eastAsia="da-DK"/>
        </w:rPr>
        <w:t xml:space="preserve">endvidere, at </w:t>
      </w:r>
      <w:r w:rsidR="00E2355D">
        <w:rPr>
          <w:rFonts w:eastAsia="Times New Roman" w:cs="Times New Roman"/>
          <w:color w:val="000000"/>
          <w:szCs w:val="22"/>
          <w:lang w:eastAsia="da-DK"/>
        </w:rPr>
        <w:t>de</w:t>
      </w:r>
      <w:r w:rsidR="000F3D24">
        <w:rPr>
          <w:rFonts w:eastAsia="Times New Roman" w:cs="Times New Roman"/>
          <w:color w:val="000000"/>
          <w:szCs w:val="22"/>
          <w:lang w:eastAsia="da-DK"/>
        </w:rPr>
        <w:t>r</w:t>
      </w:r>
      <w:r w:rsidRPr="000D4513">
        <w:rPr>
          <w:rFonts w:eastAsia="Times New Roman" w:cs="Times New Roman"/>
          <w:color w:val="000000"/>
          <w:szCs w:val="22"/>
          <w:lang w:eastAsia="da-DK"/>
        </w:rPr>
        <w:t xml:space="preserve"> sammen </w:t>
      </w:r>
      <w:r w:rsidR="00E664EA" w:rsidRPr="000D4513">
        <w:rPr>
          <w:rFonts w:eastAsia="Times New Roman" w:cs="Times New Roman"/>
          <w:color w:val="000000"/>
          <w:szCs w:val="22"/>
          <w:lang w:eastAsia="da-DK"/>
        </w:rPr>
        <w:t xml:space="preserve">med </w:t>
      </w:r>
      <w:r w:rsidR="005E3D59" w:rsidRPr="000D4513">
        <w:rPr>
          <w:rFonts w:eastAsia="Times New Roman" w:cs="Times New Roman"/>
          <w:color w:val="000000"/>
          <w:szCs w:val="22"/>
          <w:lang w:eastAsia="da-DK"/>
        </w:rPr>
        <w:t xml:space="preserve">relevante eksterne parter </w:t>
      </w:r>
      <w:r w:rsidR="00E664EA" w:rsidRPr="000D4513">
        <w:rPr>
          <w:rFonts w:eastAsia="Times New Roman" w:cs="Times New Roman"/>
          <w:color w:val="000000"/>
          <w:szCs w:val="22"/>
          <w:lang w:eastAsia="da-DK"/>
        </w:rPr>
        <w:t>udarbejde</w:t>
      </w:r>
      <w:r w:rsidR="00DA7EB6">
        <w:rPr>
          <w:rFonts w:eastAsia="Times New Roman" w:cs="Times New Roman"/>
          <w:color w:val="000000"/>
          <w:szCs w:val="22"/>
          <w:lang w:eastAsia="da-DK"/>
        </w:rPr>
        <w:t>s</w:t>
      </w:r>
      <w:r w:rsidR="00E664EA" w:rsidRPr="000D4513">
        <w:rPr>
          <w:rFonts w:eastAsia="Times New Roman" w:cs="Times New Roman"/>
          <w:color w:val="000000"/>
          <w:szCs w:val="22"/>
          <w:lang w:eastAsia="da-DK"/>
        </w:rPr>
        <w:t xml:space="preserve"> et oplæg til relevant</w:t>
      </w:r>
      <w:r w:rsidR="00E2355D">
        <w:rPr>
          <w:rFonts w:eastAsia="Times New Roman" w:cs="Times New Roman"/>
          <w:color w:val="000000"/>
          <w:szCs w:val="22"/>
          <w:lang w:eastAsia="da-DK"/>
        </w:rPr>
        <w:t>e</w:t>
      </w:r>
      <w:r w:rsidR="00E664EA" w:rsidRPr="000D4513">
        <w:rPr>
          <w:rFonts w:eastAsia="Times New Roman" w:cs="Times New Roman"/>
          <w:color w:val="000000"/>
          <w:szCs w:val="22"/>
          <w:lang w:eastAsia="da-DK"/>
        </w:rPr>
        <w:t xml:space="preserve"> </w:t>
      </w:r>
      <w:r w:rsidR="00E2355D">
        <w:rPr>
          <w:rFonts w:eastAsia="Times New Roman" w:cs="Times New Roman"/>
          <w:color w:val="000000"/>
          <w:szCs w:val="22"/>
          <w:lang w:eastAsia="da-DK"/>
        </w:rPr>
        <w:t>forbedringer af indholdet af de nye ordninger, herunder evt. forslag til nødvendige lovændringer</w:t>
      </w:r>
      <w:r w:rsidR="00E664EA" w:rsidRPr="000D4513">
        <w:rPr>
          <w:rFonts w:eastAsia="Times New Roman" w:cs="Times New Roman"/>
          <w:color w:val="000000"/>
          <w:szCs w:val="22"/>
          <w:lang w:eastAsia="da-DK"/>
        </w:rPr>
        <w:t>.</w:t>
      </w:r>
      <w:r w:rsidRPr="000D4513">
        <w:rPr>
          <w:rFonts w:eastAsia="Times New Roman" w:cs="Times New Roman"/>
          <w:color w:val="000000"/>
          <w:szCs w:val="22"/>
          <w:lang w:eastAsia="da-DK"/>
        </w:rPr>
        <w:t xml:space="preserve"> Det anbefales i </w:t>
      </w:r>
      <w:r w:rsidR="00E664EA" w:rsidRPr="000D4513">
        <w:rPr>
          <w:rFonts w:eastAsia="Times New Roman" w:cs="Times New Roman"/>
          <w:color w:val="000000"/>
          <w:szCs w:val="22"/>
          <w:lang w:eastAsia="da-DK"/>
        </w:rPr>
        <w:t xml:space="preserve">denne henseende, at der i </w:t>
      </w:r>
      <w:r w:rsidR="00C06B07">
        <w:rPr>
          <w:rFonts w:eastAsia="Times New Roman" w:cs="Times New Roman"/>
          <w:color w:val="000000"/>
          <w:szCs w:val="22"/>
          <w:lang w:eastAsia="da-DK"/>
        </w:rPr>
        <w:t xml:space="preserve">denne </w:t>
      </w:r>
      <w:r w:rsidR="00E664EA" w:rsidRPr="000D4513">
        <w:rPr>
          <w:rFonts w:eastAsia="Times New Roman" w:cs="Times New Roman"/>
          <w:color w:val="000000"/>
          <w:szCs w:val="22"/>
          <w:lang w:eastAsia="da-DK"/>
        </w:rPr>
        <w:t xml:space="preserve">proces </w:t>
      </w:r>
      <w:r w:rsidRPr="000D4513">
        <w:rPr>
          <w:rFonts w:eastAsia="Times New Roman" w:cs="Times New Roman"/>
          <w:color w:val="000000"/>
          <w:szCs w:val="22"/>
          <w:lang w:eastAsia="da-DK"/>
        </w:rPr>
        <w:t xml:space="preserve">konkret </w:t>
      </w:r>
      <w:r w:rsidR="00E664EA" w:rsidRPr="000D4513">
        <w:rPr>
          <w:rFonts w:eastAsia="Times New Roman" w:cs="Times New Roman"/>
          <w:color w:val="000000"/>
          <w:szCs w:val="22"/>
          <w:lang w:eastAsia="da-DK"/>
        </w:rPr>
        <w:t>arbejdes med forslag til tilpasninger ud fra følgende pejlemærker</w:t>
      </w:r>
      <w:r w:rsidR="0005411B">
        <w:rPr>
          <w:rFonts w:eastAsia="Times New Roman" w:cs="Times New Roman"/>
          <w:color w:val="000000"/>
          <w:szCs w:val="22"/>
          <w:lang w:eastAsia="da-DK"/>
        </w:rPr>
        <w:t>:</w:t>
      </w:r>
    </w:p>
    <w:p w14:paraId="6409B587" w14:textId="77777777" w:rsidR="00E664EA" w:rsidRPr="000D4513" w:rsidRDefault="00E664EA" w:rsidP="00E664EA">
      <w:pPr>
        <w:rPr>
          <w:rFonts w:eastAsia="Times New Roman" w:cs="Times New Roman"/>
          <w:color w:val="000000"/>
          <w:szCs w:val="22"/>
          <w:lang w:eastAsia="da-DK"/>
        </w:rPr>
      </w:pPr>
    </w:p>
    <w:p w14:paraId="6385EB9C" w14:textId="77777777" w:rsidR="00E664EA" w:rsidRPr="000D4513" w:rsidRDefault="00E664EA" w:rsidP="006B2D7C">
      <w:pPr>
        <w:pStyle w:val="Opstilling-punkttegn"/>
      </w:pPr>
      <w:r w:rsidRPr="000D4513">
        <w:t>Pejlemærke 1 – begrebet mobning og mobbesyn</w:t>
      </w:r>
    </w:p>
    <w:p w14:paraId="459B17FB" w14:textId="77777777" w:rsidR="00E664EA" w:rsidRPr="000D4513" w:rsidRDefault="00E664EA" w:rsidP="006B2D7C">
      <w:pPr>
        <w:pStyle w:val="Opstilling-punkttegn"/>
      </w:pPr>
      <w:r w:rsidRPr="000D4513">
        <w:t>Pejlemærke 2 – antimobbestrategi og handlingsplaner</w:t>
      </w:r>
    </w:p>
    <w:p w14:paraId="607EC179" w14:textId="77777777" w:rsidR="00E664EA" w:rsidRPr="000D4513" w:rsidRDefault="00E664EA" w:rsidP="006B2D7C">
      <w:pPr>
        <w:pStyle w:val="Opstilling-punkttegn"/>
      </w:pPr>
      <w:r w:rsidRPr="000D4513">
        <w:t>Pejlemærke 3 – klageordningens konstruktion m.v.</w:t>
      </w:r>
    </w:p>
    <w:p w14:paraId="54B59804" w14:textId="1E3AFEF3" w:rsidR="00B47587" w:rsidRPr="000D4513" w:rsidRDefault="00E664EA" w:rsidP="006B2D7C">
      <w:pPr>
        <w:pStyle w:val="Opstilling-punkttegn"/>
      </w:pPr>
      <w:r w:rsidRPr="000D4513">
        <w:t>Pejlemærke 4 – vejledning</w:t>
      </w:r>
    </w:p>
    <w:p w14:paraId="396ADCF3" w14:textId="77777777" w:rsidR="006B2D7C" w:rsidRPr="000D4513" w:rsidRDefault="006B2D7C" w:rsidP="006B2D7C">
      <w:pPr>
        <w:pStyle w:val="Opstilling-punkttegn"/>
      </w:pPr>
      <w:r w:rsidRPr="000D4513">
        <w:t>Pejlemærke 5 – ungdomsuddannelser</w:t>
      </w:r>
    </w:p>
    <w:p w14:paraId="50CFFD60" w14:textId="163C19B0" w:rsidR="00B47587" w:rsidRDefault="00B47587" w:rsidP="00B47587">
      <w:pPr>
        <w:pStyle w:val="Brdtekst"/>
        <w:rPr>
          <w:rFonts w:eastAsiaTheme="minorHAnsi" w:cstheme="minorBidi"/>
          <w:szCs w:val="22"/>
          <w:lang w:eastAsia="en-US"/>
        </w:rPr>
      </w:pPr>
    </w:p>
    <w:p w14:paraId="1AB23AD9" w14:textId="0A0EB8BA" w:rsidR="00B70140" w:rsidRDefault="00B70140" w:rsidP="00B47587">
      <w:pPr>
        <w:pStyle w:val="Brdtekst"/>
        <w:rPr>
          <w:rFonts w:eastAsiaTheme="minorHAnsi" w:cstheme="minorBidi"/>
          <w:szCs w:val="22"/>
          <w:lang w:eastAsia="en-US"/>
        </w:rPr>
      </w:pPr>
      <w:r>
        <w:rPr>
          <w:color w:val="000000"/>
        </w:rPr>
        <w:t>Det forudsættes som udgangspunkt, at eventulle ændringer som følge af revisionsarbejdet i alt væsentligt er udgiftsneutrale samlet set.</w:t>
      </w:r>
    </w:p>
    <w:p w14:paraId="04E732B4" w14:textId="77777777" w:rsidR="00B70140" w:rsidRPr="000D4513" w:rsidRDefault="00B70140" w:rsidP="00B47587">
      <w:pPr>
        <w:pStyle w:val="Brdtekst"/>
        <w:rPr>
          <w:rFonts w:eastAsiaTheme="minorHAnsi" w:cstheme="minorBidi"/>
          <w:szCs w:val="22"/>
          <w:lang w:eastAsia="en-US"/>
        </w:rPr>
      </w:pPr>
    </w:p>
    <w:p w14:paraId="5D7E079E" w14:textId="77777777" w:rsidR="00E71A15" w:rsidRPr="000D4513" w:rsidRDefault="00E71A15" w:rsidP="007061AD">
      <w:pPr>
        <w:pStyle w:val="Overskrift1"/>
        <w:ind w:left="425" w:hanging="425"/>
        <w:rPr>
          <w:szCs w:val="22"/>
        </w:rPr>
      </w:pPr>
      <w:bookmarkStart w:id="4" w:name="_Ref53401433"/>
      <w:bookmarkStart w:id="5" w:name="_Toc54877172"/>
      <w:r w:rsidRPr="000D4513">
        <w:rPr>
          <w:szCs w:val="22"/>
        </w:rPr>
        <w:t xml:space="preserve">Baggrunden for </w:t>
      </w:r>
      <w:r w:rsidR="00DD6A5D" w:rsidRPr="000D4513">
        <w:rPr>
          <w:szCs w:val="22"/>
        </w:rPr>
        <w:t xml:space="preserve">og indholdet af </w:t>
      </w:r>
      <w:r w:rsidRPr="000D4513">
        <w:rPr>
          <w:szCs w:val="22"/>
        </w:rPr>
        <w:t>lov nr. 311 af 4. april 2017</w:t>
      </w:r>
      <w:bookmarkEnd w:id="2"/>
      <w:bookmarkEnd w:id="3"/>
      <w:bookmarkEnd w:id="4"/>
      <w:bookmarkEnd w:id="5"/>
    </w:p>
    <w:p w14:paraId="46F713E3" w14:textId="77777777" w:rsidR="00C37E29" w:rsidRPr="000D4513" w:rsidRDefault="00C37E29" w:rsidP="007061AD">
      <w:pPr>
        <w:pStyle w:val="Brdtekst"/>
        <w:rPr>
          <w:szCs w:val="22"/>
        </w:rPr>
      </w:pPr>
      <w:r w:rsidRPr="000D4513">
        <w:rPr>
          <w:szCs w:val="22"/>
        </w:rPr>
        <w:t xml:space="preserve">Lov nr. 311 af 4. april 2017 om ændring af lov om elevers og studerendes undervisningsmiljø og lov om folkeskolen (Krav om antimobbestrategi, handlingsplan ved problemer med det psykiske undervisningsmiljø, oprettelse af klageinstans, tilsyn, genindførelse af kommunalbestyrelsens behandling af skolelederens beslutninger m.v.) </w:t>
      </w:r>
      <w:r w:rsidR="00256DBE" w:rsidRPr="000D4513">
        <w:rPr>
          <w:szCs w:val="22"/>
        </w:rPr>
        <w:t xml:space="preserve">(herefter </w:t>
      </w:r>
      <w:r w:rsidR="003D354A" w:rsidRPr="000D4513">
        <w:rPr>
          <w:szCs w:val="22"/>
        </w:rPr>
        <w:t xml:space="preserve">enten </w:t>
      </w:r>
      <w:r w:rsidR="00234DE1" w:rsidRPr="000D4513">
        <w:rPr>
          <w:szCs w:val="22"/>
        </w:rPr>
        <w:t>"</w:t>
      </w:r>
      <w:r w:rsidR="00256DBE" w:rsidRPr="000D4513">
        <w:rPr>
          <w:szCs w:val="22"/>
        </w:rPr>
        <w:t>lov nr. 311 af 4. april 2017</w:t>
      </w:r>
      <w:r w:rsidR="00234DE1" w:rsidRPr="000D4513">
        <w:rPr>
          <w:szCs w:val="22"/>
        </w:rPr>
        <w:t>"</w:t>
      </w:r>
      <w:r w:rsidR="00256DBE" w:rsidRPr="000D4513">
        <w:rPr>
          <w:szCs w:val="22"/>
        </w:rPr>
        <w:t xml:space="preserve"> eller </w:t>
      </w:r>
      <w:r w:rsidR="00234DE1" w:rsidRPr="000D4513">
        <w:rPr>
          <w:szCs w:val="22"/>
        </w:rPr>
        <w:t>"</w:t>
      </w:r>
      <w:r w:rsidR="00256DBE" w:rsidRPr="000D4513">
        <w:rPr>
          <w:szCs w:val="22"/>
        </w:rPr>
        <w:t>ændringsloven</w:t>
      </w:r>
      <w:r w:rsidR="00234DE1" w:rsidRPr="000D4513">
        <w:rPr>
          <w:szCs w:val="22"/>
        </w:rPr>
        <w:t>"</w:t>
      </w:r>
      <w:r w:rsidR="00256DBE" w:rsidRPr="000D4513">
        <w:rPr>
          <w:szCs w:val="22"/>
        </w:rPr>
        <w:t xml:space="preserve">) </w:t>
      </w:r>
      <w:r w:rsidRPr="000D4513">
        <w:rPr>
          <w:szCs w:val="22"/>
        </w:rPr>
        <w:t>trådte i kraft den 1. august 2017.</w:t>
      </w:r>
    </w:p>
    <w:p w14:paraId="45C26496" w14:textId="77777777" w:rsidR="00B47587" w:rsidRPr="000D4513" w:rsidRDefault="00B47587" w:rsidP="007061AD">
      <w:pPr>
        <w:pStyle w:val="Brdtekst"/>
        <w:rPr>
          <w:szCs w:val="22"/>
        </w:rPr>
      </w:pPr>
    </w:p>
    <w:p w14:paraId="28533F9E" w14:textId="4BF1C078" w:rsidR="00CD7F21" w:rsidRPr="000D4513" w:rsidRDefault="004134A6" w:rsidP="007061AD">
      <w:pPr>
        <w:pStyle w:val="Brdtekst"/>
        <w:rPr>
          <w:szCs w:val="22"/>
        </w:rPr>
      </w:pPr>
      <w:r w:rsidRPr="000D4513">
        <w:rPr>
          <w:szCs w:val="22"/>
        </w:rPr>
        <w:t>Ændringsloven havde baggrund i</w:t>
      </w:r>
      <w:r w:rsidR="00CD7F21" w:rsidRPr="000D4513">
        <w:rPr>
          <w:szCs w:val="22"/>
        </w:rPr>
        <w:t xml:space="preserve"> </w:t>
      </w:r>
      <w:r w:rsidR="00C37E29" w:rsidRPr="000D4513">
        <w:rPr>
          <w:szCs w:val="22"/>
        </w:rPr>
        <w:t>aftale af 12. november 2016 mellem den daværende regering (Venstre), Socialdemokratiet, Dansk Folkeparti, Radikale Venstre, Socialistisk Folkeparti og Konservative om oprettelse a</w:t>
      </w:r>
      <w:r w:rsidR="00CD7F21" w:rsidRPr="000D4513">
        <w:rPr>
          <w:szCs w:val="22"/>
        </w:rPr>
        <w:t>f en klageinstans vedr. mobning</w:t>
      </w:r>
      <w:r w:rsidR="00C37E29" w:rsidRPr="000D4513">
        <w:rPr>
          <w:szCs w:val="22"/>
        </w:rPr>
        <w:t>.</w:t>
      </w:r>
      <w:r w:rsidR="00CD7F21" w:rsidRPr="000D4513">
        <w:rPr>
          <w:szCs w:val="22"/>
        </w:rPr>
        <w:t xml:space="preserve"> Den politiske aftale havde udspring i en fælles aktionsplan </w:t>
      </w:r>
      <w:r w:rsidR="00CD7F21" w:rsidRPr="000D4513">
        <w:rPr>
          <w:szCs w:val="22"/>
        </w:rPr>
        <w:lastRenderedPageBreak/>
        <w:t>til forebyggelse og bekæmpelse af mobning på 0-18-årsområdet i Danmark (</w:t>
      </w:r>
      <w:r w:rsidR="00CD7F21" w:rsidRPr="000D4513">
        <w:rPr>
          <w:i/>
          <w:szCs w:val="22"/>
        </w:rPr>
        <w:t xml:space="preserve">Alle for én </w:t>
      </w:r>
      <w:r w:rsidR="0005411B">
        <w:rPr>
          <w:i/>
          <w:szCs w:val="22"/>
        </w:rPr>
        <w:t>–</w:t>
      </w:r>
      <w:r w:rsidR="00CD7F21" w:rsidRPr="000D4513">
        <w:rPr>
          <w:i/>
          <w:szCs w:val="22"/>
        </w:rPr>
        <w:t xml:space="preserve"> aktionsplan til forebyggelse og bekæmpelse af mobning i dagtilbud, grundskole og på ungdomsuddannelser</w:t>
      </w:r>
      <w:r w:rsidR="00CD7F21" w:rsidRPr="000D4513">
        <w:rPr>
          <w:szCs w:val="22"/>
        </w:rPr>
        <w:t>), som var udarbejdet af Børne- og Undervisningsministeriet i samarbejde med Red Barnet, Børns Vilkår og Børnerådet og bistået med faglig sparring fra Mary Fonden.</w:t>
      </w:r>
    </w:p>
    <w:p w14:paraId="76A8A311" w14:textId="0A2C3D98" w:rsidR="004134A6" w:rsidRPr="000D4513" w:rsidRDefault="004134A6" w:rsidP="007061AD">
      <w:pPr>
        <w:pStyle w:val="Brdtekst"/>
        <w:rPr>
          <w:szCs w:val="22"/>
        </w:rPr>
      </w:pPr>
    </w:p>
    <w:p w14:paraId="5E43A617" w14:textId="1B7BDE66" w:rsidR="004134A6" w:rsidRPr="000D4513" w:rsidRDefault="004134A6" w:rsidP="004134A6">
      <w:pPr>
        <w:pStyle w:val="Brdtekst"/>
        <w:rPr>
          <w:szCs w:val="22"/>
        </w:rPr>
      </w:pPr>
      <w:r w:rsidRPr="000D4513">
        <w:rPr>
          <w:szCs w:val="22"/>
        </w:rPr>
        <w:t xml:space="preserve">Det fremgår af aftalen af 12. november 2016, at aftaleparterne er enige om at oprette en national klageinstans, så alle elever i grundskoler og på ungdomsuddannelser sikres en skolegang uden problemer med det psykiske undervisningsmiljø i form af mobning eller lignende. </w:t>
      </w:r>
      <w:r w:rsidR="001C5773" w:rsidRPr="000D4513">
        <w:rPr>
          <w:szCs w:val="22"/>
        </w:rPr>
        <w:t xml:space="preserve">Det fremgår endvidere, at </w:t>
      </w:r>
      <w:r w:rsidRPr="000D4513">
        <w:rPr>
          <w:szCs w:val="22"/>
        </w:rPr>
        <w:t>målet er, at skolerne og kommunalbestyrelserne bliver bedre til at tage fat om problemerne og får løst dem lokalt ude på skolerne.</w:t>
      </w:r>
    </w:p>
    <w:p w14:paraId="1CBC637F" w14:textId="1E941353" w:rsidR="00CD7F21" w:rsidRPr="000D4513" w:rsidRDefault="00CD7F21" w:rsidP="007061AD">
      <w:pPr>
        <w:pStyle w:val="Brdtekst"/>
        <w:rPr>
          <w:szCs w:val="22"/>
        </w:rPr>
      </w:pPr>
    </w:p>
    <w:p w14:paraId="31C8DF8A" w14:textId="1C1920A6" w:rsidR="004134A6" w:rsidRPr="000D4513" w:rsidRDefault="004134A6" w:rsidP="004134A6">
      <w:pPr>
        <w:pStyle w:val="Brdtekst"/>
        <w:rPr>
          <w:szCs w:val="22"/>
        </w:rPr>
      </w:pPr>
      <w:r w:rsidRPr="000D4513">
        <w:rPr>
          <w:szCs w:val="22"/>
        </w:rPr>
        <w:t>På den bagrund blev lovforslag nr. L 123 (Folketingssamlingen 2016-17) fremsat den 26. januar 2017 med henblik på at udmønte aftalen af 12. november 2016.</w:t>
      </w:r>
    </w:p>
    <w:p w14:paraId="31B61D49" w14:textId="77777777" w:rsidR="004134A6" w:rsidRPr="000D4513" w:rsidRDefault="004134A6" w:rsidP="007061AD">
      <w:pPr>
        <w:pStyle w:val="Brdtekst"/>
        <w:rPr>
          <w:szCs w:val="22"/>
        </w:rPr>
      </w:pPr>
    </w:p>
    <w:p w14:paraId="0241C37A" w14:textId="77777777" w:rsidR="004D3BD7" w:rsidRPr="000D4513" w:rsidRDefault="004D3BD7" w:rsidP="007061AD">
      <w:pPr>
        <w:pStyle w:val="Brdtekst"/>
        <w:rPr>
          <w:szCs w:val="22"/>
        </w:rPr>
      </w:pPr>
      <w:r w:rsidRPr="000D4513">
        <w:rPr>
          <w:szCs w:val="22"/>
        </w:rPr>
        <w:t>Lovforslaget</w:t>
      </w:r>
      <w:r w:rsidR="008B6AE0" w:rsidRPr="000D4513">
        <w:rPr>
          <w:szCs w:val="22"/>
        </w:rPr>
        <w:t xml:space="preserve"> blev vedtaget </w:t>
      </w:r>
      <w:r w:rsidR="00C37E29" w:rsidRPr="000D4513">
        <w:rPr>
          <w:szCs w:val="22"/>
        </w:rPr>
        <w:t>den 28. marts 2017.</w:t>
      </w:r>
      <w:r w:rsidR="00710DB4" w:rsidRPr="000D4513">
        <w:rPr>
          <w:szCs w:val="22"/>
        </w:rPr>
        <w:t xml:space="preserve"> </w:t>
      </w:r>
      <w:r w:rsidR="00551C63" w:rsidRPr="000D4513">
        <w:rPr>
          <w:szCs w:val="22"/>
        </w:rPr>
        <w:t xml:space="preserve">For lovforslaget stemte </w:t>
      </w:r>
      <w:r w:rsidR="00C37E29" w:rsidRPr="000D4513">
        <w:rPr>
          <w:szCs w:val="22"/>
        </w:rPr>
        <w:t xml:space="preserve">Socialdemokratiet, Dansk Folkeparti, Venstre, </w:t>
      </w:r>
      <w:r w:rsidR="00CD7F21" w:rsidRPr="000D4513">
        <w:rPr>
          <w:szCs w:val="22"/>
        </w:rPr>
        <w:t xml:space="preserve">Enhedslisten, Liberal Alliance, </w:t>
      </w:r>
      <w:r w:rsidR="00C37E29" w:rsidRPr="000D4513">
        <w:rPr>
          <w:szCs w:val="22"/>
        </w:rPr>
        <w:t>Radikale Venstre, Socialistisk Folkeparti og Konservative</w:t>
      </w:r>
      <w:r w:rsidR="00710DB4" w:rsidRPr="000D4513">
        <w:rPr>
          <w:szCs w:val="22"/>
        </w:rPr>
        <w:t>. Imod stemte A</w:t>
      </w:r>
      <w:r w:rsidR="00CD7F21" w:rsidRPr="000D4513">
        <w:rPr>
          <w:szCs w:val="22"/>
        </w:rPr>
        <w:t>lternativet</w:t>
      </w:r>
      <w:r w:rsidR="00710DB4" w:rsidRPr="000D4513">
        <w:rPr>
          <w:szCs w:val="22"/>
        </w:rPr>
        <w:t>. Ingen stemte hverken for eller imod</w:t>
      </w:r>
      <w:r w:rsidR="00CD7F21" w:rsidRPr="000D4513">
        <w:rPr>
          <w:szCs w:val="22"/>
        </w:rPr>
        <w:t>.</w:t>
      </w:r>
    </w:p>
    <w:p w14:paraId="2FF4C59C" w14:textId="77777777" w:rsidR="004D3BD7" w:rsidRPr="000D4513" w:rsidRDefault="004D3BD7" w:rsidP="007061AD">
      <w:pPr>
        <w:pStyle w:val="Brdtekst"/>
        <w:rPr>
          <w:szCs w:val="22"/>
        </w:rPr>
      </w:pPr>
    </w:p>
    <w:p w14:paraId="5C4DC48B" w14:textId="77777777" w:rsidR="00710DB4" w:rsidRPr="000D4513" w:rsidRDefault="00AB3AC9" w:rsidP="009B54C2">
      <w:pPr>
        <w:pStyle w:val="Overskrift2"/>
        <w:ind w:left="426" w:hanging="455"/>
      </w:pPr>
      <w:bookmarkStart w:id="6" w:name="_Toc54877173"/>
      <w:r w:rsidRPr="000D4513">
        <w:t>Bestemmelserne vedrørende a</w:t>
      </w:r>
      <w:r w:rsidR="00710DB4" w:rsidRPr="000D4513">
        <w:t>ntimob</w:t>
      </w:r>
      <w:r w:rsidRPr="000D4513">
        <w:t>ning</w:t>
      </w:r>
      <w:bookmarkEnd w:id="6"/>
    </w:p>
    <w:p w14:paraId="2E79F54B" w14:textId="77777777" w:rsidR="00554655" w:rsidRPr="000D4513" w:rsidRDefault="00551C63" w:rsidP="007061AD">
      <w:pPr>
        <w:pStyle w:val="Brdtekst"/>
        <w:rPr>
          <w:szCs w:val="22"/>
        </w:rPr>
      </w:pPr>
      <w:r w:rsidRPr="000D4513">
        <w:rPr>
          <w:szCs w:val="22"/>
        </w:rPr>
        <w:t xml:space="preserve">Med </w:t>
      </w:r>
      <w:r w:rsidR="003D354A" w:rsidRPr="000D4513">
        <w:rPr>
          <w:szCs w:val="22"/>
        </w:rPr>
        <w:t xml:space="preserve">lov nr. 311 af 4. april 2017 </w:t>
      </w:r>
      <w:r w:rsidRPr="000D4513">
        <w:rPr>
          <w:szCs w:val="22"/>
        </w:rPr>
        <w:t xml:space="preserve">blev der i </w:t>
      </w:r>
      <w:r w:rsidR="00AB3AC9" w:rsidRPr="000D4513">
        <w:rPr>
          <w:szCs w:val="22"/>
        </w:rPr>
        <w:t xml:space="preserve">§ 1 b i </w:t>
      </w:r>
      <w:r w:rsidRPr="000D4513">
        <w:rPr>
          <w:szCs w:val="22"/>
        </w:rPr>
        <w:t>undervisningsmiljøloven indført krav om, at alle uddannelsessteder med grundskoleundervisning og ungdomsuddannelser skal fastsætte en antimobbestrategi, herunder om digital mobning.</w:t>
      </w:r>
      <w:r w:rsidR="00AB3AC9" w:rsidRPr="000D4513">
        <w:rPr>
          <w:szCs w:val="22"/>
        </w:rPr>
        <w:t xml:space="preserve"> </w:t>
      </w:r>
      <w:r w:rsidR="00554655" w:rsidRPr="000D4513">
        <w:rPr>
          <w:szCs w:val="22"/>
        </w:rPr>
        <w:t>For folkeskoler og kommunale internationale grundskoler sker fastsættelsen af strategien i øvrigt som en del af værdiregelsættet, jf. § 44, stk. 4, i folkeskoleloven og § 12, stk. 2, i lov om kommunale internationale grundskoler.</w:t>
      </w:r>
    </w:p>
    <w:p w14:paraId="17C40E33" w14:textId="77777777" w:rsidR="00554655" w:rsidRPr="000D4513" w:rsidRDefault="00554655" w:rsidP="007061AD">
      <w:pPr>
        <w:pStyle w:val="Brdtekst"/>
        <w:rPr>
          <w:szCs w:val="22"/>
        </w:rPr>
      </w:pPr>
    </w:p>
    <w:p w14:paraId="576166BC" w14:textId="6710D761" w:rsidR="00554655" w:rsidRPr="000D4513" w:rsidRDefault="00554655" w:rsidP="007061AD">
      <w:pPr>
        <w:pStyle w:val="Brdtekst"/>
        <w:rPr>
          <w:szCs w:val="22"/>
        </w:rPr>
      </w:pPr>
      <w:r w:rsidRPr="000D4513">
        <w:rPr>
          <w:szCs w:val="22"/>
        </w:rPr>
        <w:t>Kravet om en antimobbestrategi er rettet mod den myndighed, bestyrelse eller person, der har ansvar for uddannelsesstedet. Virkningen heraf er, at det for kommunale uddannelsessteder er kommunalbestyrelsen eller den, som kommunalbestyrelsen bemyndiger hertil, som er ansvarlig for opfyldelsen, mens kravene på et selvejende eller et statsligt uddannelsessted varetages af institutionens bestyrelse eller den, som bestyrelsen bemyndiger hertil. </w:t>
      </w:r>
    </w:p>
    <w:p w14:paraId="4EAF1A94" w14:textId="77777777" w:rsidR="00554655" w:rsidRPr="000D4513" w:rsidRDefault="00554655" w:rsidP="007061AD">
      <w:pPr>
        <w:pStyle w:val="Brdtekst"/>
        <w:rPr>
          <w:szCs w:val="22"/>
        </w:rPr>
      </w:pPr>
    </w:p>
    <w:p w14:paraId="2E9B8944" w14:textId="77777777" w:rsidR="00551C63" w:rsidRPr="000D4513" w:rsidRDefault="00554655" w:rsidP="007061AD">
      <w:pPr>
        <w:pStyle w:val="Brdtekst"/>
        <w:rPr>
          <w:szCs w:val="22"/>
        </w:rPr>
      </w:pPr>
      <w:r w:rsidRPr="000D4513">
        <w:rPr>
          <w:szCs w:val="22"/>
        </w:rPr>
        <w:t>Begrebet digital mobning dækker over krænkende, nedværdigende og ekskluderende handlinger, som børn og unge udsættes for fx gennem sms eller på sociale medier, hvor de interagerer med andre børn og unge, og hvor handlingerne systematisk er rettet mod én eller flere personer. Digital mobning omfatter al it-båren mobning, uanset fremgangsmåden, forum eller mobile enhed.</w:t>
      </w:r>
    </w:p>
    <w:p w14:paraId="1FEDC5F4" w14:textId="77777777" w:rsidR="00554655" w:rsidRPr="000D4513" w:rsidRDefault="00554655" w:rsidP="007061AD">
      <w:pPr>
        <w:pStyle w:val="Brdtekst"/>
        <w:rPr>
          <w:szCs w:val="22"/>
        </w:rPr>
      </w:pPr>
    </w:p>
    <w:p w14:paraId="7FCFE9B8" w14:textId="3681302A" w:rsidR="00551C63" w:rsidRPr="000D4513" w:rsidRDefault="00551C63" w:rsidP="007061AD">
      <w:pPr>
        <w:pStyle w:val="Brdtekst"/>
        <w:rPr>
          <w:szCs w:val="22"/>
        </w:rPr>
      </w:pPr>
      <w:r w:rsidRPr="000D4513">
        <w:rPr>
          <w:szCs w:val="22"/>
        </w:rPr>
        <w:t xml:space="preserve">Med lovændringen blev der </w:t>
      </w:r>
      <w:r w:rsidR="00AB3AC9" w:rsidRPr="000D4513">
        <w:rPr>
          <w:szCs w:val="22"/>
        </w:rPr>
        <w:t xml:space="preserve">endvidere i lovens § 1 </w:t>
      </w:r>
      <w:r w:rsidR="00D0789B" w:rsidRPr="000D4513">
        <w:rPr>
          <w:szCs w:val="22"/>
        </w:rPr>
        <w:t>c</w:t>
      </w:r>
      <w:r w:rsidRPr="000D4513">
        <w:rPr>
          <w:szCs w:val="22"/>
        </w:rPr>
        <w:t xml:space="preserve"> indført krav om, at de omfattede uddannelsessteders ledelse i konkrete tilfælde af problemer med det psykiske undervisningsmiljø i form af mobning eller lignende inden for en frist </w:t>
      </w:r>
      <w:r w:rsidR="00AB3AC9" w:rsidRPr="000D4513">
        <w:rPr>
          <w:szCs w:val="22"/>
        </w:rPr>
        <w:t xml:space="preserve">på 10 </w:t>
      </w:r>
      <w:r w:rsidR="0005411B">
        <w:rPr>
          <w:szCs w:val="22"/>
        </w:rPr>
        <w:t xml:space="preserve">arbejdsdage </w:t>
      </w:r>
      <w:r w:rsidR="00AB3AC9" w:rsidRPr="000D4513">
        <w:rPr>
          <w:szCs w:val="22"/>
        </w:rPr>
        <w:t>efter, at der er modtaget oplysning om problemerne, skal</w:t>
      </w:r>
      <w:r w:rsidRPr="000D4513">
        <w:rPr>
          <w:szCs w:val="22"/>
        </w:rPr>
        <w:t xml:space="preserve"> udarbejde en handlingsplan, hvoraf det fremgår, med hvilke foranstaltninger problemerne effektivt bringes til ophør.</w:t>
      </w:r>
      <w:r w:rsidR="00554655" w:rsidRPr="000D4513">
        <w:rPr>
          <w:szCs w:val="22"/>
        </w:rPr>
        <w:t xml:space="preserve"> Fristen regnes fra det tidspunkt, hvor uddannelsesstedet første gang skriftligt eller mundtligt modtager oplysning om problemerne.</w:t>
      </w:r>
    </w:p>
    <w:p w14:paraId="66462E01" w14:textId="77777777" w:rsidR="00551C63" w:rsidRPr="000D4513" w:rsidRDefault="00551C63" w:rsidP="007061AD">
      <w:pPr>
        <w:pStyle w:val="Brdtekst"/>
        <w:rPr>
          <w:szCs w:val="22"/>
        </w:rPr>
      </w:pPr>
    </w:p>
    <w:p w14:paraId="2D5FC770" w14:textId="77777777" w:rsidR="00AB3AC9" w:rsidRPr="000D4513" w:rsidRDefault="00551C63" w:rsidP="007061AD">
      <w:pPr>
        <w:pStyle w:val="Brdtekst"/>
        <w:rPr>
          <w:szCs w:val="22"/>
        </w:rPr>
      </w:pPr>
      <w:r w:rsidRPr="000D4513">
        <w:rPr>
          <w:szCs w:val="22"/>
        </w:rPr>
        <w:t>Tilsvarende gælde</w:t>
      </w:r>
      <w:r w:rsidR="00AB3AC9" w:rsidRPr="000D4513">
        <w:rPr>
          <w:szCs w:val="22"/>
        </w:rPr>
        <w:t>r</w:t>
      </w:r>
      <w:r w:rsidRPr="000D4513">
        <w:rPr>
          <w:szCs w:val="22"/>
        </w:rPr>
        <w:t xml:space="preserve">, hvis uddannelsesstedets ledelse eller en elevs forældremyndighedsindehavere anser det nødvendigt som følge af elevens bekymrende tilstand eller adfærd, herunder sygdom og fravær på grund af problemer med det psykiske undervisningsmiljø i form af mobning eller lignende. </w:t>
      </w:r>
    </w:p>
    <w:p w14:paraId="4E72DCD1" w14:textId="77777777" w:rsidR="00AB3AC9" w:rsidRPr="000D4513" w:rsidRDefault="00AB3AC9" w:rsidP="007061AD">
      <w:pPr>
        <w:pStyle w:val="Brdtekst"/>
        <w:rPr>
          <w:szCs w:val="22"/>
        </w:rPr>
      </w:pPr>
    </w:p>
    <w:p w14:paraId="278E228E" w14:textId="77777777" w:rsidR="00AB3AC9" w:rsidRPr="000D4513" w:rsidRDefault="00554655" w:rsidP="007061AD">
      <w:pPr>
        <w:pStyle w:val="Brdtekst"/>
        <w:rPr>
          <w:szCs w:val="22"/>
        </w:rPr>
      </w:pPr>
      <w:r w:rsidRPr="000D4513">
        <w:rPr>
          <w:szCs w:val="22"/>
        </w:rPr>
        <w:t>Antimobbestrategi og handlingsplaner</w:t>
      </w:r>
      <w:r w:rsidR="00AB3AC9" w:rsidRPr="000D4513">
        <w:rPr>
          <w:szCs w:val="22"/>
        </w:rPr>
        <w:t xml:space="preserve"> skal revideres efter behov.</w:t>
      </w:r>
    </w:p>
    <w:p w14:paraId="12D07941" w14:textId="77777777" w:rsidR="00AB3AC9" w:rsidRPr="000D4513" w:rsidRDefault="00AB3AC9" w:rsidP="007061AD">
      <w:pPr>
        <w:pStyle w:val="Brdtekst"/>
        <w:rPr>
          <w:szCs w:val="22"/>
        </w:rPr>
      </w:pPr>
    </w:p>
    <w:p w14:paraId="62C87A05" w14:textId="77777777" w:rsidR="00AB3AC9" w:rsidRPr="000D4513" w:rsidRDefault="007501C4" w:rsidP="007061AD">
      <w:pPr>
        <w:pStyle w:val="Brdtekst"/>
        <w:rPr>
          <w:szCs w:val="22"/>
        </w:rPr>
      </w:pPr>
      <w:r w:rsidRPr="000D4513">
        <w:rPr>
          <w:szCs w:val="22"/>
        </w:rPr>
        <w:lastRenderedPageBreak/>
        <w:t>Uddannelsesstedets ledelse vil skulle gennemføre de planlagte foranstaltninger i overensstemmelse med handlingsplanen eller sørge for, at dette sker, og uddannelsesstedets ledelse vil endvidere straks skulle træffe de midlertidige foranstaltninger, som her og nu er nødvendige for at gribe ind over for de konstaterede problemer.</w:t>
      </w:r>
    </w:p>
    <w:p w14:paraId="3FFDEFA1" w14:textId="77777777" w:rsidR="007501C4" w:rsidRPr="000D4513" w:rsidRDefault="007501C4" w:rsidP="007061AD">
      <w:pPr>
        <w:pStyle w:val="Brdtekst"/>
        <w:rPr>
          <w:szCs w:val="22"/>
        </w:rPr>
      </w:pPr>
    </w:p>
    <w:p w14:paraId="70BEE17C" w14:textId="7533D58F" w:rsidR="00710DB4" w:rsidRPr="000D4513" w:rsidRDefault="00AB3AC9" w:rsidP="009B54C2">
      <w:pPr>
        <w:pStyle w:val="Brdtekst"/>
        <w:rPr>
          <w:szCs w:val="22"/>
        </w:rPr>
      </w:pPr>
      <w:r w:rsidRPr="000D4513">
        <w:rPr>
          <w:szCs w:val="22"/>
        </w:rPr>
        <w:t>Endelig skal uddannelsesstedets ledelse informere de berørte elever og for elever undergivet forældremyndighed eleverne og forældremyndighedsindehaverne om indholdet af handlingsplanen og om eventuelle midlertidige foranstaltninger.</w:t>
      </w:r>
      <w:r w:rsidR="00554655" w:rsidRPr="000D4513">
        <w:rPr>
          <w:szCs w:val="22"/>
        </w:rPr>
        <w:t xml:space="preserve"> Der ikke formkrav til informationen, som fx kan giv</w:t>
      </w:r>
      <w:r w:rsidR="009B54C2" w:rsidRPr="000D4513">
        <w:rPr>
          <w:szCs w:val="22"/>
        </w:rPr>
        <w:t>es skriftligt eller på et møde.</w:t>
      </w:r>
    </w:p>
    <w:p w14:paraId="6094CBDA" w14:textId="77777777" w:rsidR="009B54C2" w:rsidRPr="000D4513" w:rsidRDefault="009B54C2" w:rsidP="009B54C2">
      <w:pPr>
        <w:pStyle w:val="Brdtekst"/>
        <w:rPr>
          <w:szCs w:val="22"/>
        </w:rPr>
      </w:pPr>
    </w:p>
    <w:p w14:paraId="65DD3972" w14:textId="77777777" w:rsidR="00710DB4" w:rsidRPr="000D4513" w:rsidRDefault="00710DB4" w:rsidP="009B54C2">
      <w:pPr>
        <w:pStyle w:val="Overskrift2"/>
        <w:ind w:left="426" w:hanging="455"/>
      </w:pPr>
      <w:bookmarkStart w:id="7" w:name="_Toc54877174"/>
      <w:r w:rsidRPr="000D4513">
        <w:t>Klageordning</w:t>
      </w:r>
      <w:bookmarkEnd w:id="7"/>
    </w:p>
    <w:p w14:paraId="72F1BDBA" w14:textId="3FB9D050" w:rsidR="00D0341F" w:rsidRPr="000D4513" w:rsidRDefault="00D0341F" w:rsidP="007061AD">
      <w:pPr>
        <w:autoSpaceDE w:val="0"/>
        <w:autoSpaceDN w:val="0"/>
        <w:adjustRightInd w:val="0"/>
        <w:rPr>
          <w:szCs w:val="22"/>
        </w:rPr>
      </w:pPr>
      <w:r w:rsidRPr="000D4513">
        <w:rPr>
          <w:szCs w:val="22"/>
        </w:rPr>
        <w:t>Med lov nr. 311 af 4. april 2017 blev der i §§ 7 a-</w:t>
      </w:r>
      <w:r w:rsidR="0097627C" w:rsidRPr="000D4513">
        <w:rPr>
          <w:szCs w:val="22"/>
        </w:rPr>
        <w:t xml:space="preserve">7 </w:t>
      </w:r>
      <w:r w:rsidRPr="000D4513">
        <w:rPr>
          <w:szCs w:val="22"/>
        </w:rPr>
        <w:t xml:space="preserve">c i undervisningsmiljøloven indført </w:t>
      </w:r>
      <w:r w:rsidR="00551C63" w:rsidRPr="000D4513">
        <w:rPr>
          <w:szCs w:val="22"/>
        </w:rPr>
        <w:t xml:space="preserve">bestemmelser om klageadgang </w:t>
      </w:r>
      <w:r w:rsidRPr="000D4513">
        <w:rPr>
          <w:szCs w:val="22"/>
        </w:rPr>
        <w:t>og klageinstans.</w:t>
      </w:r>
    </w:p>
    <w:p w14:paraId="3F087751" w14:textId="77777777" w:rsidR="00D0341F" w:rsidRPr="000D4513" w:rsidRDefault="00D0341F" w:rsidP="007061AD">
      <w:pPr>
        <w:autoSpaceDE w:val="0"/>
        <w:autoSpaceDN w:val="0"/>
        <w:adjustRightInd w:val="0"/>
        <w:rPr>
          <w:szCs w:val="22"/>
        </w:rPr>
      </w:pPr>
    </w:p>
    <w:p w14:paraId="42D623E2" w14:textId="21878A90" w:rsidR="00A32A82" w:rsidRPr="000D4513" w:rsidRDefault="00D0341F" w:rsidP="007061AD">
      <w:pPr>
        <w:autoSpaceDE w:val="0"/>
        <w:autoSpaceDN w:val="0"/>
        <w:adjustRightInd w:val="0"/>
        <w:rPr>
          <w:szCs w:val="22"/>
        </w:rPr>
      </w:pPr>
      <w:r w:rsidRPr="000D4513">
        <w:rPr>
          <w:szCs w:val="22"/>
        </w:rPr>
        <w:t>Efter § 7 a har e</w:t>
      </w:r>
      <w:r w:rsidR="00B5529C" w:rsidRPr="000D4513">
        <w:rPr>
          <w:szCs w:val="22"/>
        </w:rPr>
        <w:t>lever og mindreårige elevers forældre adgang til at klage til Dansk Center for Undervisningsmiljø (DCUM), hvis uddannelsesstedet ikke har en antimobbestrategi</w:t>
      </w:r>
      <w:r w:rsidR="002C25F6">
        <w:rPr>
          <w:szCs w:val="22"/>
        </w:rPr>
        <w:t>,</w:t>
      </w:r>
      <w:r w:rsidR="00B5529C" w:rsidRPr="000D4513">
        <w:rPr>
          <w:szCs w:val="22"/>
        </w:rPr>
        <w:t xml:space="preserve"> eller ved </w:t>
      </w:r>
      <w:r w:rsidRPr="000D4513">
        <w:rPr>
          <w:szCs w:val="22"/>
        </w:rPr>
        <w:t xml:space="preserve">uddannelsesstedets </w:t>
      </w:r>
      <w:r w:rsidR="00B5529C" w:rsidRPr="000D4513">
        <w:rPr>
          <w:szCs w:val="22"/>
        </w:rPr>
        <w:t>manglende eller utilstrækkelig</w:t>
      </w:r>
      <w:r w:rsidRPr="000D4513">
        <w:rPr>
          <w:szCs w:val="22"/>
        </w:rPr>
        <w:t>e</w:t>
      </w:r>
      <w:r w:rsidR="00B5529C" w:rsidRPr="000D4513">
        <w:rPr>
          <w:szCs w:val="22"/>
        </w:rPr>
        <w:t xml:space="preserve"> reaktion ved konkrete tilfælde af problemer med det psykiske undervisningsmiljø i form af mobning eller lignende. </w:t>
      </w:r>
    </w:p>
    <w:p w14:paraId="2C2B7D8E" w14:textId="77777777" w:rsidR="00A32A82" w:rsidRPr="000D4513" w:rsidRDefault="00A32A82" w:rsidP="007061AD">
      <w:pPr>
        <w:autoSpaceDE w:val="0"/>
        <w:autoSpaceDN w:val="0"/>
        <w:adjustRightInd w:val="0"/>
        <w:rPr>
          <w:szCs w:val="22"/>
        </w:rPr>
      </w:pPr>
    </w:p>
    <w:p w14:paraId="1B7C6C02" w14:textId="77777777" w:rsidR="003D354A" w:rsidRPr="000D4513" w:rsidRDefault="00A32A82" w:rsidP="007061AD">
      <w:pPr>
        <w:autoSpaceDE w:val="0"/>
        <w:autoSpaceDN w:val="0"/>
        <w:adjustRightInd w:val="0"/>
        <w:rPr>
          <w:szCs w:val="22"/>
        </w:rPr>
      </w:pPr>
      <w:r w:rsidRPr="000D4513">
        <w:rPr>
          <w:szCs w:val="22"/>
        </w:rPr>
        <w:t>Det, der kan klages over, er således manglende overholdelse af de handlepligter, som uddannelsesstedet har til at fastsætte en antimobbestrategi, udarbejde en handlingsplan i tilfælde af mobning og foretage de nødvendige midlertidige foranstaltninger, gennemføre foranstaltningerne m.v. Klagen kan både være over manglende fastsættelse af fx en handlingsplan, et utilstrækkeligt indhold i en fastsat handlingsplan eller over manglende gennemførelse af handlingsplanen. </w:t>
      </w:r>
      <w:r w:rsidR="00D0789B" w:rsidRPr="000D4513">
        <w:rPr>
          <w:szCs w:val="22"/>
        </w:rPr>
        <w:t>Klagen skal være begrundet.</w:t>
      </w:r>
    </w:p>
    <w:p w14:paraId="0F483DC7" w14:textId="77777777" w:rsidR="00A32A82" w:rsidRPr="000D4513" w:rsidRDefault="00A32A82" w:rsidP="007061AD">
      <w:pPr>
        <w:autoSpaceDE w:val="0"/>
        <w:autoSpaceDN w:val="0"/>
        <w:adjustRightInd w:val="0"/>
        <w:rPr>
          <w:szCs w:val="22"/>
        </w:rPr>
      </w:pPr>
    </w:p>
    <w:p w14:paraId="6176C5D8" w14:textId="77777777" w:rsidR="00A32A82" w:rsidRPr="000D4513" w:rsidRDefault="00A32A82" w:rsidP="007061AD">
      <w:pPr>
        <w:autoSpaceDE w:val="0"/>
        <w:autoSpaceDN w:val="0"/>
        <w:adjustRightInd w:val="0"/>
        <w:rPr>
          <w:szCs w:val="22"/>
        </w:rPr>
      </w:pPr>
      <w:r w:rsidRPr="000D4513">
        <w:rPr>
          <w:szCs w:val="22"/>
        </w:rPr>
        <w:t>Bestemmelserne indeholder ikke en frist for klagens indgivelse. Det er dog forudsat, at klagen skal have en sådan aktualitet, at klagesagen kan behandles uden uforholdsmæssigt besvær i forhold til at skaffe fornødent oplysningsgrundlag for bedømmelse af klagesagen. </w:t>
      </w:r>
    </w:p>
    <w:p w14:paraId="2490E568" w14:textId="77777777" w:rsidR="00A32A82" w:rsidRPr="000D4513" w:rsidRDefault="00A32A82" w:rsidP="007061AD">
      <w:pPr>
        <w:autoSpaceDE w:val="0"/>
        <w:autoSpaceDN w:val="0"/>
        <w:adjustRightInd w:val="0"/>
        <w:rPr>
          <w:szCs w:val="22"/>
        </w:rPr>
      </w:pPr>
    </w:p>
    <w:p w14:paraId="65BD9CDF" w14:textId="77777777" w:rsidR="00A32A82" w:rsidRPr="000D4513" w:rsidRDefault="00A32A82" w:rsidP="007061AD">
      <w:pPr>
        <w:autoSpaceDE w:val="0"/>
        <w:autoSpaceDN w:val="0"/>
        <w:adjustRightInd w:val="0"/>
        <w:rPr>
          <w:szCs w:val="22"/>
        </w:rPr>
      </w:pPr>
      <w:r w:rsidRPr="000D4513">
        <w:rPr>
          <w:szCs w:val="22"/>
        </w:rPr>
        <w:t xml:space="preserve">Klagesagsbehandlingen sker på skriftligt grundlag. DCUM har således ikke kompetence til at foretage samtaler med klager eller andre eller til at foretage uanmeldt besøg på uddannelsesstedet. Ved uenighed mellem uddannelsesstedet og klager om, hvorvidt det hændte udgør mobning eller ej, er det forudsat, at DCUM skal lægge uddannelsesstedets beskrivelse af fakta til grund, medmindre klager kan dokumentere, at fakta ikke er sandfærdigt beskrevet. Findes sådan dokumentation ikke, </w:t>
      </w:r>
      <w:r w:rsidR="00AF5BF5" w:rsidRPr="000D4513">
        <w:rPr>
          <w:szCs w:val="22"/>
        </w:rPr>
        <w:t xml:space="preserve">skal DCUM </w:t>
      </w:r>
      <w:r w:rsidRPr="000D4513">
        <w:rPr>
          <w:szCs w:val="22"/>
        </w:rPr>
        <w:t>afvise klagen.</w:t>
      </w:r>
    </w:p>
    <w:p w14:paraId="36380BE7" w14:textId="77777777" w:rsidR="00A32A82" w:rsidRPr="000D4513" w:rsidRDefault="00A32A82" w:rsidP="007061AD">
      <w:pPr>
        <w:autoSpaceDE w:val="0"/>
        <w:autoSpaceDN w:val="0"/>
        <w:adjustRightInd w:val="0"/>
        <w:rPr>
          <w:szCs w:val="22"/>
        </w:rPr>
      </w:pPr>
    </w:p>
    <w:p w14:paraId="1F2D5E2F" w14:textId="382CAA58" w:rsidR="00D0341F" w:rsidRPr="000D4513" w:rsidRDefault="00A32A82" w:rsidP="007061AD">
      <w:pPr>
        <w:autoSpaceDE w:val="0"/>
        <w:autoSpaceDN w:val="0"/>
        <w:adjustRightInd w:val="0"/>
        <w:rPr>
          <w:szCs w:val="22"/>
        </w:rPr>
      </w:pPr>
      <w:r w:rsidRPr="000D4513">
        <w:rPr>
          <w:szCs w:val="22"/>
        </w:rPr>
        <w:t xml:space="preserve">Klagesagsbehandlingen </w:t>
      </w:r>
      <w:r w:rsidR="00D0341F" w:rsidRPr="000D4513">
        <w:rPr>
          <w:szCs w:val="22"/>
        </w:rPr>
        <w:t xml:space="preserve">er </w:t>
      </w:r>
      <w:r w:rsidRPr="000D4513">
        <w:rPr>
          <w:szCs w:val="22"/>
        </w:rPr>
        <w:t xml:space="preserve">endvidere </w:t>
      </w:r>
      <w:r w:rsidR="00D0341F" w:rsidRPr="000D4513">
        <w:rPr>
          <w:szCs w:val="22"/>
        </w:rPr>
        <w:t xml:space="preserve">etableret </w:t>
      </w:r>
      <w:r w:rsidRPr="000D4513">
        <w:rPr>
          <w:szCs w:val="22"/>
        </w:rPr>
        <w:t xml:space="preserve">som </w:t>
      </w:r>
      <w:r w:rsidR="0097627C" w:rsidRPr="000D4513">
        <w:rPr>
          <w:szCs w:val="22"/>
        </w:rPr>
        <w:t xml:space="preserve">en </w:t>
      </w:r>
      <w:r w:rsidRPr="000D4513">
        <w:rPr>
          <w:szCs w:val="22"/>
        </w:rPr>
        <w:t xml:space="preserve">remonstrationsordning, hvilket indebærer, at klagen sendes til uddannelsesstedet, som skal vurdere, om der er grundlag for at give klager helt eller delvist medhold. Får klager ikke fuldt ud medhold, skal uddannelsesstedet sende klagen og begrundelse for afgørelsen og vurderingen videre til </w:t>
      </w:r>
      <w:r w:rsidR="00D0341F" w:rsidRPr="000D4513">
        <w:rPr>
          <w:szCs w:val="22"/>
        </w:rPr>
        <w:t>D</w:t>
      </w:r>
      <w:r w:rsidR="00D0789B" w:rsidRPr="000D4513">
        <w:rPr>
          <w:szCs w:val="22"/>
        </w:rPr>
        <w:t>CUM.</w:t>
      </w:r>
      <w:r w:rsidRPr="000D4513">
        <w:rPr>
          <w:szCs w:val="22"/>
        </w:rPr>
        <w:t xml:space="preserve"> Med udtrykket </w:t>
      </w:r>
      <w:r w:rsidR="00234DE1" w:rsidRPr="000D4513">
        <w:rPr>
          <w:szCs w:val="22"/>
        </w:rPr>
        <w:t>"</w:t>
      </w:r>
      <w:r w:rsidRPr="000D4513">
        <w:rPr>
          <w:szCs w:val="22"/>
        </w:rPr>
        <w:t>fuldt ud medhold</w:t>
      </w:r>
      <w:r w:rsidR="00234DE1" w:rsidRPr="000D4513">
        <w:rPr>
          <w:szCs w:val="22"/>
        </w:rPr>
        <w:t>"</w:t>
      </w:r>
      <w:r w:rsidRPr="000D4513">
        <w:rPr>
          <w:szCs w:val="22"/>
        </w:rPr>
        <w:t xml:space="preserve"> er forudsat, at elever og forældremyndighedsindehavere mundtligt eller skriftligt erklærer sig tilfredse med resultatet af vurderingen af sagen. Klager har på ethvert tidspunkt mulighed for at trække sin klage tilbage.</w:t>
      </w:r>
    </w:p>
    <w:p w14:paraId="2A82EC92" w14:textId="77777777" w:rsidR="00D0341F" w:rsidRPr="000D4513" w:rsidRDefault="00D0341F" w:rsidP="007061AD">
      <w:pPr>
        <w:autoSpaceDE w:val="0"/>
        <w:autoSpaceDN w:val="0"/>
        <w:adjustRightInd w:val="0"/>
        <w:rPr>
          <w:szCs w:val="22"/>
        </w:rPr>
      </w:pPr>
    </w:p>
    <w:p w14:paraId="7BBA590E" w14:textId="15D79AFC" w:rsidR="00AF5BF5" w:rsidRPr="000D4513" w:rsidRDefault="00D0789B" w:rsidP="007061AD">
      <w:pPr>
        <w:autoSpaceDE w:val="0"/>
        <w:autoSpaceDN w:val="0"/>
        <w:adjustRightInd w:val="0"/>
        <w:rPr>
          <w:szCs w:val="22"/>
        </w:rPr>
      </w:pPr>
      <w:r w:rsidRPr="000D4513">
        <w:rPr>
          <w:szCs w:val="22"/>
        </w:rPr>
        <w:t xml:space="preserve">Efter § 7 b træffes afgørelse </w:t>
      </w:r>
      <w:r w:rsidR="00A32A82" w:rsidRPr="000D4513">
        <w:rPr>
          <w:szCs w:val="22"/>
        </w:rPr>
        <w:t>om</w:t>
      </w:r>
      <w:r w:rsidRPr="000D4513">
        <w:rPr>
          <w:szCs w:val="22"/>
        </w:rPr>
        <w:t xml:space="preserve"> en klage af DCUMs daglige leder, idet den pågældende i behandlingen heraf ikke</w:t>
      </w:r>
      <w:r w:rsidR="0005411B">
        <w:rPr>
          <w:szCs w:val="22"/>
        </w:rPr>
        <w:t xml:space="preserve"> er</w:t>
      </w:r>
      <w:r w:rsidRPr="000D4513">
        <w:rPr>
          <w:szCs w:val="22"/>
        </w:rPr>
        <w:t xml:space="preserve"> underlagt </w:t>
      </w:r>
      <w:r w:rsidR="0097627C" w:rsidRPr="000D4513">
        <w:rPr>
          <w:szCs w:val="22"/>
        </w:rPr>
        <w:t>instruktion fra DCUMs bestyrelse</w:t>
      </w:r>
      <w:r w:rsidRPr="000D4513">
        <w:rPr>
          <w:szCs w:val="22"/>
        </w:rPr>
        <w:t>.</w:t>
      </w:r>
      <w:r w:rsidR="00AF5BF5" w:rsidRPr="000D4513">
        <w:rPr>
          <w:szCs w:val="22"/>
        </w:rPr>
        <w:t xml:space="preserve"> Der er tale om en habilitetsbestemmelse, som sikrer, at repræsentanter for elever og uddannelsesste</w:t>
      </w:r>
      <w:r w:rsidR="006B2D7C" w:rsidRPr="000D4513">
        <w:rPr>
          <w:szCs w:val="22"/>
        </w:rPr>
        <w:t>der, som hovedsaglig udgør DCUM</w:t>
      </w:r>
      <w:r w:rsidR="00AF5BF5" w:rsidRPr="000D4513">
        <w:rPr>
          <w:szCs w:val="22"/>
        </w:rPr>
        <w:t>s bestyrelse, og som er de typiske parter i klagesager, ikke har indflydelse på behandlingen af klagesager. </w:t>
      </w:r>
      <w:r w:rsidRPr="000D4513">
        <w:rPr>
          <w:szCs w:val="22"/>
        </w:rPr>
        <w:t xml:space="preserve"> </w:t>
      </w:r>
    </w:p>
    <w:p w14:paraId="36F75AE2" w14:textId="77777777" w:rsidR="00AF5BF5" w:rsidRPr="000D4513" w:rsidRDefault="00AF5BF5" w:rsidP="007061AD">
      <w:pPr>
        <w:autoSpaceDE w:val="0"/>
        <w:autoSpaceDN w:val="0"/>
        <w:adjustRightInd w:val="0"/>
        <w:rPr>
          <w:szCs w:val="22"/>
        </w:rPr>
      </w:pPr>
    </w:p>
    <w:p w14:paraId="4A66600D" w14:textId="77777777" w:rsidR="00D0789B" w:rsidRPr="000D4513" w:rsidRDefault="00D0789B" w:rsidP="007061AD">
      <w:pPr>
        <w:autoSpaceDE w:val="0"/>
        <w:autoSpaceDN w:val="0"/>
        <w:adjustRightInd w:val="0"/>
        <w:rPr>
          <w:szCs w:val="22"/>
        </w:rPr>
      </w:pPr>
      <w:r w:rsidRPr="000D4513">
        <w:rPr>
          <w:szCs w:val="22"/>
        </w:rPr>
        <w:lastRenderedPageBreak/>
        <w:t>DCUMs afgørelser</w:t>
      </w:r>
      <w:r w:rsidR="00AF5BF5" w:rsidRPr="000D4513">
        <w:rPr>
          <w:szCs w:val="22"/>
        </w:rPr>
        <w:t xml:space="preserve"> i klagesager</w:t>
      </w:r>
      <w:r w:rsidRPr="000D4513">
        <w:rPr>
          <w:szCs w:val="22"/>
        </w:rPr>
        <w:t xml:space="preserve"> kan ikke indbringes for anden administrativ myndighed.</w:t>
      </w:r>
    </w:p>
    <w:p w14:paraId="547FA54B" w14:textId="77777777" w:rsidR="00D0789B" w:rsidRPr="000D4513" w:rsidRDefault="00D0789B" w:rsidP="007061AD">
      <w:pPr>
        <w:autoSpaceDE w:val="0"/>
        <w:autoSpaceDN w:val="0"/>
        <w:adjustRightInd w:val="0"/>
        <w:rPr>
          <w:szCs w:val="22"/>
        </w:rPr>
      </w:pPr>
    </w:p>
    <w:p w14:paraId="3FF50E87" w14:textId="77777777" w:rsidR="00AF5BF5" w:rsidRPr="000D4513" w:rsidRDefault="00D0789B" w:rsidP="007061AD">
      <w:pPr>
        <w:autoSpaceDE w:val="0"/>
        <w:autoSpaceDN w:val="0"/>
        <w:adjustRightInd w:val="0"/>
        <w:rPr>
          <w:szCs w:val="22"/>
        </w:rPr>
      </w:pPr>
      <w:r w:rsidRPr="000D4513">
        <w:rPr>
          <w:szCs w:val="22"/>
        </w:rPr>
        <w:t xml:space="preserve">Efter § 7 </w:t>
      </w:r>
      <w:r w:rsidR="00AF5BF5" w:rsidRPr="000D4513">
        <w:rPr>
          <w:szCs w:val="22"/>
        </w:rPr>
        <w:t xml:space="preserve">c </w:t>
      </w:r>
      <w:r w:rsidR="007501C4" w:rsidRPr="000D4513">
        <w:rPr>
          <w:szCs w:val="22"/>
        </w:rPr>
        <w:t>har</w:t>
      </w:r>
      <w:r w:rsidR="00D0341F" w:rsidRPr="000D4513">
        <w:rPr>
          <w:szCs w:val="22"/>
        </w:rPr>
        <w:t xml:space="preserve"> </w:t>
      </w:r>
      <w:r w:rsidR="00B5529C" w:rsidRPr="000D4513">
        <w:rPr>
          <w:szCs w:val="22"/>
        </w:rPr>
        <w:t xml:space="preserve">DCUM </w:t>
      </w:r>
      <w:r w:rsidR="003D354A" w:rsidRPr="000D4513">
        <w:rPr>
          <w:szCs w:val="22"/>
        </w:rPr>
        <w:t xml:space="preserve">mulighed for at </w:t>
      </w:r>
      <w:r w:rsidR="00B5529C" w:rsidRPr="000D4513">
        <w:rPr>
          <w:szCs w:val="22"/>
        </w:rPr>
        <w:t>udstede påbud om at opfylde en handlepligt</w:t>
      </w:r>
      <w:r w:rsidRPr="000D4513">
        <w:rPr>
          <w:szCs w:val="22"/>
        </w:rPr>
        <w:t xml:space="preserve"> efter undervisningsmiljøloven §</w:t>
      </w:r>
      <w:r w:rsidR="007501C4" w:rsidRPr="000D4513">
        <w:rPr>
          <w:szCs w:val="22"/>
        </w:rPr>
        <w:t>§ 1 b og</w:t>
      </w:r>
      <w:r w:rsidRPr="000D4513">
        <w:rPr>
          <w:szCs w:val="22"/>
        </w:rPr>
        <w:t xml:space="preserve"> 1 c</w:t>
      </w:r>
      <w:r w:rsidR="00B5529C" w:rsidRPr="000D4513">
        <w:rPr>
          <w:szCs w:val="22"/>
        </w:rPr>
        <w:t xml:space="preserve"> inden for en rimelig frist</w:t>
      </w:r>
      <w:r w:rsidRPr="000D4513">
        <w:rPr>
          <w:szCs w:val="22"/>
        </w:rPr>
        <w:t>, dvs. kravene til uddannelsesstederne om at udarbejde en antimobbestrategi henholdsvis en handlingsplan om nødvendigt</w:t>
      </w:r>
      <w:r w:rsidR="007501C4" w:rsidRPr="000D4513">
        <w:rPr>
          <w:szCs w:val="22"/>
        </w:rPr>
        <w:t xml:space="preserve">. </w:t>
      </w:r>
    </w:p>
    <w:p w14:paraId="373B3A8B" w14:textId="77777777" w:rsidR="00AF5BF5" w:rsidRPr="000D4513" w:rsidRDefault="00AF5BF5" w:rsidP="007061AD">
      <w:pPr>
        <w:autoSpaceDE w:val="0"/>
        <w:autoSpaceDN w:val="0"/>
        <w:adjustRightInd w:val="0"/>
        <w:rPr>
          <w:szCs w:val="22"/>
        </w:rPr>
      </w:pPr>
    </w:p>
    <w:p w14:paraId="7641B6BE" w14:textId="4EB2B647" w:rsidR="00AF5BF5" w:rsidRPr="000D4513" w:rsidRDefault="00AF5BF5" w:rsidP="007061AD">
      <w:pPr>
        <w:autoSpaceDE w:val="0"/>
        <w:autoSpaceDN w:val="0"/>
        <w:adjustRightInd w:val="0"/>
        <w:rPr>
          <w:szCs w:val="22"/>
        </w:rPr>
      </w:pPr>
      <w:r w:rsidRPr="000D4513">
        <w:rPr>
          <w:szCs w:val="22"/>
        </w:rPr>
        <w:t>Der kan både være tale om et påbud, hvor der ikke er handlet, eller hvor handlingerne er utilstrækkelige, fx hvis en handl</w:t>
      </w:r>
      <w:r w:rsidR="006B2D7C" w:rsidRPr="000D4513">
        <w:rPr>
          <w:szCs w:val="22"/>
        </w:rPr>
        <w:t>ingsplan efter DCUM</w:t>
      </w:r>
      <w:r w:rsidRPr="000D4513">
        <w:rPr>
          <w:szCs w:val="22"/>
        </w:rPr>
        <w:t>s vurdering ikke er tilstrækkelig til at løse problemerne.</w:t>
      </w:r>
    </w:p>
    <w:p w14:paraId="520C8578" w14:textId="77777777" w:rsidR="00AF5BF5" w:rsidRPr="000D4513" w:rsidRDefault="00AF5BF5" w:rsidP="007061AD">
      <w:pPr>
        <w:autoSpaceDE w:val="0"/>
        <w:autoSpaceDN w:val="0"/>
        <w:adjustRightInd w:val="0"/>
        <w:rPr>
          <w:szCs w:val="22"/>
        </w:rPr>
      </w:pPr>
    </w:p>
    <w:p w14:paraId="45691C8B" w14:textId="77777777" w:rsidR="00AF5BF5" w:rsidRPr="000D4513" w:rsidRDefault="00AF5BF5" w:rsidP="007061AD">
      <w:pPr>
        <w:autoSpaceDE w:val="0"/>
        <w:autoSpaceDN w:val="0"/>
        <w:adjustRightInd w:val="0"/>
        <w:rPr>
          <w:szCs w:val="22"/>
        </w:rPr>
      </w:pPr>
      <w:r w:rsidRPr="000D4513">
        <w:rPr>
          <w:szCs w:val="22"/>
        </w:rPr>
        <w:t xml:space="preserve">Med </w:t>
      </w:r>
      <w:r w:rsidR="00234DE1" w:rsidRPr="000D4513">
        <w:rPr>
          <w:szCs w:val="22"/>
        </w:rPr>
        <w:t>"</w:t>
      </w:r>
      <w:r w:rsidRPr="000D4513">
        <w:rPr>
          <w:szCs w:val="22"/>
        </w:rPr>
        <w:t>rimelig frist</w:t>
      </w:r>
      <w:r w:rsidR="00234DE1" w:rsidRPr="000D4513">
        <w:rPr>
          <w:szCs w:val="22"/>
        </w:rPr>
        <w:t>"</w:t>
      </w:r>
      <w:r w:rsidRPr="000D4513">
        <w:rPr>
          <w:szCs w:val="22"/>
        </w:rPr>
        <w:t xml:space="preserve"> er forudsat, at der tages hensyn til problemernes kompleksitet og omfang, dvs. at påbud normalt ikke bør udstedes med en frist på under 14 dage.</w:t>
      </w:r>
    </w:p>
    <w:p w14:paraId="6C78D311" w14:textId="77777777" w:rsidR="00AF5BF5" w:rsidRPr="000D4513" w:rsidRDefault="00AF5BF5" w:rsidP="007061AD">
      <w:pPr>
        <w:autoSpaceDE w:val="0"/>
        <w:autoSpaceDN w:val="0"/>
        <w:adjustRightInd w:val="0"/>
        <w:rPr>
          <w:szCs w:val="22"/>
        </w:rPr>
      </w:pPr>
    </w:p>
    <w:p w14:paraId="72461375" w14:textId="6A58A047" w:rsidR="00D0789B" w:rsidRPr="000D4513" w:rsidRDefault="007501C4" w:rsidP="007061AD">
      <w:pPr>
        <w:autoSpaceDE w:val="0"/>
        <w:autoSpaceDN w:val="0"/>
        <w:adjustRightInd w:val="0"/>
        <w:rPr>
          <w:szCs w:val="22"/>
        </w:rPr>
      </w:pPr>
      <w:r w:rsidRPr="000D4513">
        <w:rPr>
          <w:szCs w:val="22"/>
        </w:rPr>
        <w:t>De kommunale tilsynsmyndigheder påser efter anmodning fra DCUM, at vedkommende kommunalbestyrelse efterlever udstedte påbud</w:t>
      </w:r>
      <w:r w:rsidR="0097627C" w:rsidRPr="000D4513">
        <w:rPr>
          <w:szCs w:val="22"/>
        </w:rPr>
        <w:t xml:space="preserve"> og har i den forbindelse mulighed for at anvende tvangsbøder for at sikre efterlevelsen</w:t>
      </w:r>
      <w:r w:rsidRPr="000D4513">
        <w:rPr>
          <w:szCs w:val="22"/>
        </w:rPr>
        <w:t xml:space="preserve">. </w:t>
      </w:r>
      <w:r w:rsidR="0097627C" w:rsidRPr="000D4513">
        <w:rPr>
          <w:szCs w:val="22"/>
        </w:rPr>
        <w:t xml:space="preserve">For et </w:t>
      </w:r>
      <w:r w:rsidR="00211C0B">
        <w:rPr>
          <w:szCs w:val="22"/>
        </w:rPr>
        <w:t>s</w:t>
      </w:r>
      <w:r w:rsidR="0097627C" w:rsidRPr="000D4513">
        <w:rPr>
          <w:szCs w:val="22"/>
        </w:rPr>
        <w:t xml:space="preserve">elvejende uddannelsessted, som ikke har efterlevet et udstedt påbud, kan </w:t>
      </w:r>
      <w:r w:rsidRPr="000D4513">
        <w:rPr>
          <w:szCs w:val="22"/>
        </w:rPr>
        <w:t>børne- og u</w:t>
      </w:r>
      <w:r w:rsidR="00D0789B" w:rsidRPr="000D4513">
        <w:rPr>
          <w:szCs w:val="22"/>
        </w:rPr>
        <w:t xml:space="preserve">ndervisningsministeren efter anmodning fra </w:t>
      </w:r>
      <w:r w:rsidRPr="000D4513">
        <w:rPr>
          <w:szCs w:val="22"/>
        </w:rPr>
        <w:t>D</w:t>
      </w:r>
      <w:r w:rsidR="0097627C" w:rsidRPr="000D4513">
        <w:rPr>
          <w:szCs w:val="22"/>
        </w:rPr>
        <w:t xml:space="preserve">CUM tilbageholde </w:t>
      </w:r>
      <w:r w:rsidR="00D0789B" w:rsidRPr="000D4513">
        <w:rPr>
          <w:szCs w:val="22"/>
        </w:rPr>
        <w:t xml:space="preserve">tilskud, indtil </w:t>
      </w:r>
      <w:r w:rsidR="0097627C" w:rsidRPr="000D4513">
        <w:rPr>
          <w:szCs w:val="22"/>
        </w:rPr>
        <w:t>påbuddet</w:t>
      </w:r>
      <w:r w:rsidR="00D0789B" w:rsidRPr="000D4513">
        <w:rPr>
          <w:szCs w:val="22"/>
        </w:rPr>
        <w:t xml:space="preserve"> er efterlevet, eller lade tilskud helt bortfalde.</w:t>
      </w:r>
    </w:p>
    <w:p w14:paraId="05655915" w14:textId="77777777" w:rsidR="00D0789B" w:rsidRPr="000D4513" w:rsidRDefault="00D0789B" w:rsidP="007061AD">
      <w:pPr>
        <w:autoSpaceDE w:val="0"/>
        <w:autoSpaceDN w:val="0"/>
        <w:adjustRightInd w:val="0"/>
        <w:rPr>
          <w:szCs w:val="22"/>
        </w:rPr>
      </w:pPr>
    </w:p>
    <w:p w14:paraId="1C172B8F" w14:textId="37E45FE7" w:rsidR="00D0341F" w:rsidRPr="000D4513" w:rsidRDefault="00D0341F" w:rsidP="007061AD">
      <w:pPr>
        <w:autoSpaceDE w:val="0"/>
        <w:autoSpaceDN w:val="0"/>
        <w:adjustRightInd w:val="0"/>
        <w:rPr>
          <w:szCs w:val="22"/>
        </w:rPr>
      </w:pPr>
      <w:r w:rsidRPr="000D4513">
        <w:rPr>
          <w:szCs w:val="22"/>
        </w:rPr>
        <w:t xml:space="preserve">Efter § 3, stk. 2, </w:t>
      </w:r>
      <w:r w:rsidR="00D0789B" w:rsidRPr="000D4513">
        <w:rPr>
          <w:szCs w:val="22"/>
        </w:rPr>
        <w:t xml:space="preserve">i lov nr. 311 af 4. april 2017 </w:t>
      </w:r>
      <w:r w:rsidRPr="000D4513">
        <w:rPr>
          <w:szCs w:val="22"/>
        </w:rPr>
        <w:t xml:space="preserve">er </w:t>
      </w:r>
      <w:r w:rsidR="00D0789B" w:rsidRPr="000D4513">
        <w:rPr>
          <w:szCs w:val="22"/>
        </w:rPr>
        <w:t xml:space="preserve">bestemmelserne om </w:t>
      </w:r>
      <w:r w:rsidRPr="000D4513">
        <w:rPr>
          <w:szCs w:val="22"/>
        </w:rPr>
        <w:t>klageordningen og klageinstansen vedrørende mobning</w:t>
      </w:r>
      <w:r w:rsidR="00D0789B" w:rsidRPr="000D4513">
        <w:rPr>
          <w:szCs w:val="22"/>
        </w:rPr>
        <w:t xml:space="preserve">, dvs. undervisningsmiljølovens §§ 7 a-7 c, </w:t>
      </w:r>
      <w:r w:rsidRPr="000D4513">
        <w:rPr>
          <w:szCs w:val="22"/>
        </w:rPr>
        <w:t xml:space="preserve">underlagt en solnedgangsklausul, som indebærer, at </w:t>
      </w:r>
      <w:r w:rsidR="00D0789B" w:rsidRPr="000D4513">
        <w:rPr>
          <w:szCs w:val="22"/>
        </w:rPr>
        <w:t xml:space="preserve">disse </w:t>
      </w:r>
      <w:r w:rsidR="0097627C" w:rsidRPr="000D4513">
        <w:rPr>
          <w:szCs w:val="22"/>
        </w:rPr>
        <w:t xml:space="preserve">ordninger </w:t>
      </w:r>
      <w:r w:rsidRPr="000D4513">
        <w:rPr>
          <w:szCs w:val="22"/>
        </w:rPr>
        <w:t>automatisk ophæves den 31. juli 2022, medmindre Folketinget vedtager en lovændring om andet.</w:t>
      </w:r>
    </w:p>
    <w:p w14:paraId="3FEED7E1" w14:textId="77777777" w:rsidR="00241A45" w:rsidRPr="000D4513" w:rsidRDefault="00241A45" w:rsidP="007061AD">
      <w:pPr>
        <w:autoSpaceDE w:val="0"/>
        <w:autoSpaceDN w:val="0"/>
        <w:adjustRightInd w:val="0"/>
        <w:rPr>
          <w:szCs w:val="22"/>
        </w:rPr>
      </w:pPr>
    </w:p>
    <w:p w14:paraId="48DC9ECA" w14:textId="77777777" w:rsidR="00AB3AC9" w:rsidRPr="000D4513" w:rsidRDefault="00AB3AC9" w:rsidP="009B54C2">
      <w:pPr>
        <w:pStyle w:val="Overskrift2"/>
        <w:ind w:left="426" w:hanging="455"/>
        <w:rPr>
          <w:szCs w:val="22"/>
        </w:rPr>
      </w:pPr>
      <w:bookmarkStart w:id="8" w:name="_Toc54877175"/>
      <w:r w:rsidRPr="000D4513">
        <w:t>Tilsyn</w:t>
      </w:r>
      <w:bookmarkEnd w:id="8"/>
    </w:p>
    <w:p w14:paraId="52C4933C" w14:textId="7C236CB9" w:rsidR="007501C4" w:rsidRPr="000D4513" w:rsidRDefault="007501C4" w:rsidP="007061AD">
      <w:pPr>
        <w:autoSpaceDE w:val="0"/>
        <w:autoSpaceDN w:val="0"/>
        <w:adjustRightInd w:val="0"/>
        <w:rPr>
          <w:szCs w:val="22"/>
        </w:rPr>
      </w:pPr>
      <w:r w:rsidRPr="000D4513">
        <w:rPr>
          <w:szCs w:val="22"/>
        </w:rPr>
        <w:t xml:space="preserve">Med </w:t>
      </w:r>
      <w:r w:rsidR="00D0341F" w:rsidRPr="000D4513">
        <w:rPr>
          <w:szCs w:val="22"/>
        </w:rPr>
        <w:t xml:space="preserve">lov nr. 311 af 4. april 2017 blev </w:t>
      </w:r>
      <w:r w:rsidRPr="000D4513">
        <w:rPr>
          <w:szCs w:val="22"/>
        </w:rPr>
        <w:t xml:space="preserve">DCUM med </w:t>
      </w:r>
      <w:r w:rsidR="00D0341F" w:rsidRPr="000D4513">
        <w:rPr>
          <w:szCs w:val="22"/>
        </w:rPr>
        <w:t>§</w:t>
      </w:r>
      <w:r w:rsidRPr="000D4513">
        <w:rPr>
          <w:szCs w:val="22"/>
        </w:rPr>
        <w:t xml:space="preserve"> 7 e</w:t>
      </w:r>
      <w:r w:rsidR="00D0341F" w:rsidRPr="000D4513">
        <w:rPr>
          <w:szCs w:val="22"/>
        </w:rPr>
        <w:t xml:space="preserve"> i undervisningsmiljøloven tillagt en tilsynsfunktion</w:t>
      </w:r>
      <w:r w:rsidRPr="000D4513">
        <w:rPr>
          <w:szCs w:val="22"/>
        </w:rPr>
        <w:t>, hvorefter centeret fører tilsyn med overholdelsen af bestemmelserne i loven</w:t>
      </w:r>
      <w:r w:rsidR="0005411B">
        <w:rPr>
          <w:szCs w:val="22"/>
        </w:rPr>
        <w:t>s</w:t>
      </w:r>
      <w:r w:rsidRPr="000D4513">
        <w:rPr>
          <w:szCs w:val="22"/>
        </w:rPr>
        <w:t xml:space="preserve"> kapitel 1 om elevers m.v. generelle rettigheder og pligter, kapitel 1 a om antimobning, kapitel 3 om deltagelse i uddannelsesstedets sikkerhedsarbejde og kapitel 4</w:t>
      </w:r>
      <w:r w:rsidR="00554655" w:rsidRPr="000D4513">
        <w:rPr>
          <w:szCs w:val="22"/>
        </w:rPr>
        <w:t xml:space="preserve"> om undervisningsmiljøvurdering</w:t>
      </w:r>
      <w:r w:rsidRPr="000D4513">
        <w:rPr>
          <w:szCs w:val="22"/>
        </w:rPr>
        <w:t>.</w:t>
      </w:r>
      <w:r w:rsidR="00554655" w:rsidRPr="000D4513">
        <w:rPr>
          <w:szCs w:val="22"/>
        </w:rPr>
        <w:t xml:space="preserve"> Tilsynet foretages efter bestemmelsen på skriftligt grundlag, dvs. at DCUM kan bede den myndighed, bestyrelse eller person, der har ansvaret for uddannelsesstedet, om at indsende relevant materiale, som dokumenterer fastsættelse af eksempelvis antimobbestrategi og handlingsplaner.</w:t>
      </w:r>
    </w:p>
    <w:p w14:paraId="5A513532" w14:textId="77777777" w:rsidR="00AB3AC9" w:rsidRPr="000D4513" w:rsidRDefault="00AB3AC9" w:rsidP="007061AD">
      <w:pPr>
        <w:pStyle w:val="Brdtekst"/>
        <w:rPr>
          <w:color w:val="000000"/>
          <w:szCs w:val="22"/>
        </w:rPr>
      </w:pPr>
    </w:p>
    <w:p w14:paraId="7872952E" w14:textId="42224FAA" w:rsidR="00E71A15" w:rsidRPr="000D4513" w:rsidRDefault="00E71A15" w:rsidP="007061AD">
      <w:pPr>
        <w:pStyle w:val="Overskrift1"/>
        <w:ind w:left="425" w:hanging="425"/>
        <w:rPr>
          <w:szCs w:val="22"/>
        </w:rPr>
      </w:pPr>
      <w:bookmarkStart w:id="9" w:name="_Toc50645523"/>
      <w:bookmarkStart w:id="10" w:name="_Ref53153950"/>
      <w:bookmarkStart w:id="11" w:name="_Toc54877176"/>
      <w:r w:rsidRPr="000D4513">
        <w:rPr>
          <w:szCs w:val="22"/>
        </w:rPr>
        <w:t>Baggrunden for</w:t>
      </w:r>
      <w:r w:rsidR="002C25F6">
        <w:rPr>
          <w:szCs w:val="22"/>
        </w:rPr>
        <w:t>,</w:t>
      </w:r>
      <w:r w:rsidRPr="000D4513">
        <w:rPr>
          <w:szCs w:val="22"/>
        </w:rPr>
        <w:t xml:space="preserve"> at loven blev udvalgt til lovovervågning</w:t>
      </w:r>
      <w:bookmarkEnd w:id="9"/>
      <w:bookmarkEnd w:id="10"/>
      <w:bookmarkEnd w:id="11"/>
    </w:p>
    <w:p w14:paraId="5ED1F3A1" w14:textId="28A92D43" w:rsidR="00CD7F21" w:rsidRPr="000D4513" w:rsidRDefault="00CD7F21" w:rsidP="007061AD">
      <w:pPr>
        <w:pStyle w:val="Brdtekst"/>
        <w:rPr>
          <w:szCs w:val="22"/>
        </w:rPr>
      </w:pPr>
      <w:r w:rsidRPr="000D4513">
        <w:rPr>
          <w:szCs w:val="22"/>
        </w:rPr>
        <w:t>Af aftale af 12. november 2016 mellem den daværende regering (Venstre), Socialdemokratiet, Dansk Folkeparti, Radikale Venstre, Socialistisk Folkeparti og Konservative om oprettelse af en klageinstans vedr. mobning</w:t>
      </w:r>
      <w:r w:rsidR="00256DBE" w:rsidRPr="000D4513">
        <w:rPr>
          <w:szCs w:val="22"/>
        </w:rPr>
        <w:t xml:space="preserve"> fremgår, at Bør</w:t>
      </w:r>
      <w:r w:rsidR="007501C4" w:rsidRPr="000D4513">
        <w:rPr>
          <w:szCs w:val="22"/>
        </w:rPr>
        <w:t>ne- og Undervisningsministeriet</w:t>
      </w:r>
      <w:r w:rsidR="00256DBE" w:rsidRPr="000D4513">
        <w:rPr>
          <w:szCs w:val="22"/>
        </w:rPr>
        <w:t xml:space="preserve"> senest to år efter lovens ikrafttræden vil gennemføre en undersøgelse med det formål at vurdere, om lovens bestemmelser om antimobning, herunder den nationale klageinstans, har haft den tilsigtede virkning</w:t>
      </w:r>
      <w:r w:rsidRPr="000D4513">
        <w:rPr>
          <w:szCs w:val="22"/>
        </w:rPr>
        <w:t>.</w:t>
      </w:r>
      <w:r w:rsidR="00256DBE" w:rsidRPr="000D4513">
        <w:rPr>
          <w:szCs w:val="22"/>
        </w:rPr>
        <w:t xml:space="preserve"> Det fremgår endvidere, at resultatet af undersøgelsen senest i </w:t>
      </w:r>
      <w:r w:rsidR="002C25F6">
        <w:rPr>
          <w:szCs w:val="22"/>
        </w:rPr>
        <w:t>f</w:t>
      </w:r>
      <w:r w:rsidR="00256DBE" w:rsidRPr="000D4513">
        <w:rPr>
          <w:szCs w:val="22"/>
        </w:rPr>
        <w:t>olketingssamlingen 2019-20 vil blive sendt til Børne- og Undervisningsudvalget.</w:t>
      </w:r>
    </w:p>
    <w:p w14:paraId="377C5350" w14:textId="77777777" w:rsidR="00CD7F21" w:rsidRPr="000D4513" w:rsidRDefault="00CD7F21" w:rsidP="007061AD">
      <w:pPr>
        <w:pStyle w:val="Brdtekst"/>
        <w:rPr>
          <w:szCs w:val="22"/>
        </w:rPr>
      </w:pPr>
    </w:p>
    <w:p w14:paraId="3794E626" w14:textId="77777777" w:rsidR="00256DBE" w:rsidRPr="000D4513" w:rsidRDefault="00256DBE" w:rsidP="007061AD">
      <w:pPr>
        <w:pStyle w:val="Brdtekst"/>
        <w:rPr>
          <w:szCs w:val="22"/>
        </w:rPr>
      </w:pPr>
      <w:r w:rsidRPr="000D4513">
        <w:rPr>
          <w:szCs w:val="22"/>
        </w:rPr>
        <w:t xml:space="preserve">I </w:t>
      </w:r>
      <w:r w:rsidR="009D0079" w:rsidRPr="000D4513">
        <w:rPr>
          <w:szCs w:val="22"/>
        </w:rPr>
        <w:t>overensstemmelse</w:t>
      </w:r>
      <w:r w:rsidRPr="000D4513">
        <w:rPr>
          <w:szCs w:val="22"/>
        </w:rPr>
        <w:t xml:space="preserve"> hermed fremgår følgende af </w:t>
      </w:r>
      <w:r w:rsidR="00E71A15" w:rsidRPr="000D4513">
        <w:rPr>
          <w:szCs w:val="22"/>
        </w:rPr>
        <w:t>fo</w:t>
      </w:r>
      <w:r w:rsidR="00CD7F21" w:rsidRPr="000D4513">
        <w:rPr>
          <w:szCs w:val="22"/>
        </w:rPr>
        <w:t xml:space="preserve">rarbejderne </w:t>
      </w:r>
      <w:r w:rsidRPr="000D4513">
        <w:rPr>
          <w:szCs w:val="22"/>
        </w:rPr>
        <w:t xml:space="preserve">til </w:t>
      </w:r>
      <w:r w:rsidR="001A2403" w:rsidRPr="000D4513">
        <w:rPr>
          <w:szCs w:val="22"/>
        </w:rPr>
        <w:t xml:space="preserve">lov </w:t>
      </w:r>
      <w:r w:rsidRPr="000D4513">
        <w:rPr>
          <w:szCs w:val="22"/>
        </w:rPr>
        <w:t xml:space="preserve">nr. 311 af 4. april 2017 </w:t>
      </w:r>
      <w:r w:rsidR="00CD7F21" w:rsidRPr="000D4513">
        <w:rPr>
          <w:szCs w:val="22"/>
        </w:rPr>
        <w:t>(</w:t>
      </w:r>
      <w:r w:rsidR="00EC4607" w:rsidRPr="000D4513">
        <w:rPr>
          <w:szCs w:val="22"/>
        </w:rPr>
        <w:t xml:space="preserve">af afsnit 5 i </w:t>
      </w:r>
      <w:r w:rsidR="00CD7F21" w:rsidRPr="000D4513">
        <w:rPr>
          <w:szCs w:val="22"/>
        </w:rPr>
        <w:t>L 123 fremsat den 2</w:t>
      </w:r>
      <w:r w:rsidR="00E71A15" w:rsidRPr="000D4513">
        <w:rPr>
          <w:szCs w:val="22"/>
        </w:rPr>
        <w:t>6. januar 2017)</w:t>
      </w:r>
      <w:r w:rsidRPr="000D4513">
        <w:rPr>
          <w:szCs w:val="22"/>
        </w:rPr>
        <w:t>:</w:t>
      </w:r>
      <w:r w:rsidR="00E71A15" w:rsidRPr="000D4513">
        <w:rPr>
          <w:szCs w:val="22"/>
        </w:rPr>
        <w:t xml:space="preserve"> </w:t>
      </w:r>
    </w:p>
    <w:p w14:paraId="664E2196" w14:textId="77777777" w:rsidR="00256DBE" w:rsidRPr="000D4513" w:rsidRDefault="00256DBE" w:rsidP="007061AD">
      <w:pPr>
        <w:pStyle w:val="Brdtekst"/>
        <w:rPr>
          <w:szCs w:val="22"/>
        </w:rPr>
      </w:pPr>
    </w:p>
    <w:p w14:paraId="5E6B52E7" w14:textId="4D4B8DDA" w:rsidR="00E71A15" w:rsidRPr="000D4513" w:rsidRDefault="00234DE1" w:rsidP="0047623C">
      <w:pPr>
        <w:pStyle w:val="Brdtekst"/>
        <w:rPr>
          <w:i/>
          <w:szCs w:val="22"/>
        </w:rPr>
      </w:pPr>
      <w:r w:rsidRPr="000D4513">
        <w:rPr>
          <w:i/>
          <w:szCs w:val="22"/>
        </w:rPr>
        <w:t>"</w:t>
      </w:r>
      <w:r w:rsidR="00256DBE" w:rsidRPr="000D4513">
        <w:rPr>
          <w:i/>
          <w:szCs w:val="22"/>
        </w:rPr>
        <w:t>Loven vil blive omfattet af lovovervågning. Som led i lovovervågningen vil</w:t>
      </w:r>
      <w:r w:rsidR="0047623C" w:rsidRPr="000D4513">
        <w:rPr>
          <w:i/>
          <w:szCs w:val="22"/>
        </w:rPr>
        <w:t xml:space="preserve"> Ministeriet for Børn, Undervisning og Ligestilling</w:t>
      </w:r>
      <w:r w:rsidR="00256DBE" w:rsidRPr="000D4513">
        <w:rPr>
          <w:i/>
          <w:szCs w:val="22"/>
        </w:rPr>
        <w:t xml:space="preserve"> </w:t>
      </w:r>
      <w:r w:rsidR="00256DBE" w:rsidRPr="000D4513">
        <w:rPr>
          <w:szCs w:val="22"/>
        </w:rPr>
        <w:t xml:space="preserve">[i dag Børne- og Undervisningsministeriet] </w:t>
      </w:r>
      <w:r w:rsidR="00256DBE" w:rsidRPr="000D4513">
        <w:rPr>
          <w:i/>
          <w:szCs w:val="22"/>
        </w:rPr>
        <w:t xml:space="preserve">senest to år efter lovens ikrafttræden gennemføre en undersøgelse med det formål at vurdere, om lovens bestemmelser om antimobning og tilsyn har haft den tilsigtede virkning. Resultatet af undersøgelsen vil senest i Folketingssamlingen 2019-20 blive sendt til Folketingets Undervisningsudvalg </w:t>
      </w:r>
      <w:r w:rsidR="00256DBE" w:rsidRPr="000D4513">
        <w:rPr>
          <w:szCs w:val="22"/>
        </w:rPr>
        <w:t xml:space="preserve">[i dag </w:t>
      </w:r>
      <w:r w:rsidR="0005411B">
        <w:rPr>
          <w:szCs w:val="22"/>
        </w:rPr>
        <w:t xml:space="preserve">Folketingets </w:t>
      </w:r>
      <w:r w:rsidR="00256DBE" w:rsidRPr="000D4513">
        <w:rPr>
          <w:szCs w:val="22"/>
        </w:rPr>
        <w:t>Børne- og Undervisningsudvalg]</w:t>
      </w:r>
      <w:r w:rsidR="00256DBE" w:rsidRPr="000D4513">
        <w:rPr>
          <w:i/>
          <w:szCs w:val="22"/>
        </w:rPr>
        <w:t>.</w:t>
      </w:r>
      <w:r w:rsidRPr="000D4513">
        <w:rPr>
          <w:i/>
          <w:szCs w:val="22"/>
        </w:rPr>
        <w:t>"</w:t>
      </w:r>
    </w:p>
    <w:p w14:paraId="565858D5" w14:textId="77777777" w:rsidR="00256DBE" w:rsidRPr="000D4513" w:rsidRDefault="00256DBE" w:rsidP="007061AD">
      <w:pPr>
        <w:pStyle w:val="Brdtekst"/>
        <w:rPr>
          <w:szCs w:val="22"/>
        </w:rPr>
      </w:pPr>
    </w:p>
    <w:p w14:paraId="1654D952" w14:textId="033480EF" w:rsidR="009D0079" w:rsidRPr="000D4513" w:rsidRDefault="009D0079" w:rsidP="007061AD">
      <w:pPr>
        <w:pStyle w:val="Brdtekst"/>
        <w:rPr>
          <w:szCs w:val="22"/>
        </w:rPr>
      </w:pPr>
      <w:r w:rsidRPr="000D4513">
        <w:rPr>
          <w:szCs w:val="22"/>
        </w:rPr>
        <w:t xml:space="preserve">Resultatet af undersøgelsen og </w:t>
      </w:r>
      <w:r w:rsidR="001A2403" w:rsidRPr="000D4513">
        <w:rPr>
          <w:szCs w:val="22"/>
        </w:rPr>
        <w:t xml:space="preserve">den forudsatte </w:t>
      </w:r>
      <w:r w:rsidRPr="000D4513">
        <w:rPr>
          <w:szCs w:val="22"/>
        </w:rPr>
        <w:t xml:space="preserve">afrapportering til Folketingets Børne- og Undervisningsudvalg er navnlig på grund af situationen med </w:t>
      </w:r>
      <w:r w:rsidR="0047623C" w:rsidRPr="000D4513">
        <w:rPr>
          <w:szCs w:val="22"/>
        </w:rPr>
        <w:t>covid</w:t>
      </w:r>
      <w:r w:rsidRPr="000D4513">
        <w:rPr>
          <w:szCs w:val="22"/>
        </w:rPr>
        <w:t>-19 beklage</w:t>
      </w:r>
      <w:r w:rsidR="002C25F6">
        <w:rPr>
          <w:szCs w:val="22"/>
        </w:rPr>
        <w:t>lig</w:t>
      </w:r>
      <w:r w:rsidRPr="000D4513">
        <w:rPr>
          <w:szCs w:val="22"/>
        </w:rPr>
        <w:t>vis blevet forsinket.</w:t>
      </w:r>
    </w:p>
    <w:p w14:paraId="5021CE85" w14:textId="77777777" w:rsidR="009D0079" w:rsidRPr="000D4513" w:rsidRDefault="009D0079" w:rsidP="007061AD">
      <w:pPr>
        <w:pStyle w:val="Brdtekst"/>
        <w:rPr>
          <w:szCs w:val="22"/>
        </w:rPr>
      </w:pPr>
    </w:p>
    <w:p w14:paraId="3BFC92D8" w14:textId="77777777" w:rsidR="00256DBE" w:rsidRPr="000D4513" w:rsidRDefault="001A2403" w:rsidP="007061AD">
      <w:pPr>
        <w:pStyle w:val="Brdtekst"/>
        <w:rPr>
          <w:szCs w:val="22"/>
        </w:rPr>
      </w:pPr>
      <w:r w:rsidRPr="000D4513">
        <w:rPr>
          <w:szCs w:val="22"/>
        </w:rPr>
        <w:t>M</w:t>
      </w:r>
      <w:r w:rsidR="00256DBE" w:rsidRPr="000D4513">
        <w:rPr>
          <w:szCs w:val="22"/>
        </w:rPr>
        <w:t xml:space="preserve">ed </w:t>
      </w:r>
      <w:r w:rsidRPr="000D4513">
        <w:rPr>
          <w:szCs w:val="22"/>
        </w:rPr>
        <w:t xml:space="preserve">ændringsloven blev klageordningen som tidligere nævnt </w:t>
      </w:r>
      <w:r w:rsidR="00E71A15" w:rsidRPr="000D4513">
        <w:rPr>
          <w:szCs w:val="22"/>
        </w:rPr>
        <w:t xml:space="preserve">særskilt underlagt en solnedgangsklausul, </w:t>
      </w:r>
      <w:r w:rsidR="009E3B1F" w:rsidRPr="000D4513">
        <w:rPr>
          <w:szCs w:val="22"/>
        </w:rPr>
        <w:t>hvorefter</w:t>
      </w:r>
      <w:r w:rsidR="00E71A15" w:rsidRPr="000D4513">
        <w:rPr>
          <w:szCs w:val="22"/>
        </w:rPr>
        <w:t xml:space="preserve"> undervisningsmiljølovens §§ 7 a-7 c automatisk ophæves den 31. juli 2022. Kl</w:t>
      </w:r>
      <w:r w:rsidR="00256DBE" w:rsidRPr="000D4513">
        <w:rPr>
          <w:szCs w:val="22"/>
        </w:rPr>
        <w:t>ausulen indebærer, at kl</w:t>
      </w:r>
      <w:r w:rsidR="00E71A15" w:rsidRPr="000D4513">
        <w:rPr>
          <w:szCs w:val="22"/>
        </w:rPr>
        <w:t xml:space="preserve">agesagsbehandlingen </w:t>
      </w:r>
      <w:r w:rsidR="00EC4607" w:rsidRPr="000D4513">
        <w:rPr>
          <w:szCs w:val="22"/>
        </w:rPr>
        <w:t xml:space="preserve">hos DCUM skal ophøre </w:t>
      </w:r>
      <w:r w:rsidR="00E71A15" w:rsidRPr="000D4513">
        <w:rPr>
          <w:szCs w:val="22"/>
        </w:rPr>
        <w:t>senest den 31. juli 2022, medmindre Folketinget vurderer, at klageadgangen skal opretholdes</w:t>
      </w:r>
      <w:r w:rsidRPr="000D4513">
        <w:rPr>
          <w:szCs w:val="22"/>
        </w:rPr>
        <w:t xml:space="preserve"> delvist eller permanent</w:t>
      </w:r>
      <w:r w:rsidR="00E71A15" w:rsidRPr="000D4513">
        <w:rPr>
          <w:szCs w:val="22"/>
        </w:rPr>
        <w:t xml:space="preserve">, og inden da vedtager dette ved lov. </w:t>
      </w:r>
    </w:p>
    <w:p w14:paraId="639A29BB" w14:textId="77777777" w:rsidR="00256DBE" w:rsidRPr="000D4513" w:rsidRDefault="00256DBE" w:rsidP="007061AD">
      <w:pPr>
        <w:pStyle w:val="Brdtekst"/>
        <w:rPr>
          <w:szCs w:val="22"/>
        </w:rPr>
      </w:pPr>
    </w:p>
    <w:p w14:paraId="2C3FCCCB" w14:textId="0558EA2E" w:rsidR="00B5529C" w:rsidRPr="000D4513" w:rsidRDefault="00E71A15" w:rsidP="007061AD">
      <w:pPr>
        <w:pStyle w:val="Brdtekst"/>
        <w:rPr>
          <w:szCs w:val="22"/>
        </w:rPr>
      </w:pPr>
      <w:r w:rsidRPr="000D4513">
        <w:rPr>
          <w:szCs w:val="22"/>
        </w:rPr>
        <w:t xml:space="preserve">Af forarbejderne </w:t>
      </w:r>
      <w:r w:rsidR="001A2403" w:rsidRPr="000D4513">
        <w:rPr>
          <w:szCs w:val="22"/>
        </w:rPr>
        <w:t xml:space="preserve">til ændringslovens bestemmelser om klage og klageinstans fremgår, at </w:t>
      </w:r>
      <w:r w:rsidR="00AF707A" w:rsidRPr="000D4513">
        <w:rPr>
          <w:szCs w:val="22"/>
        </w:rPr>
        <w:t xml:space="preserve">også </w:t>
      </w:r>
      <w:r w:rsidR="001A2403" w:rsidRPr="000D4513">
        <w:rPr>
          <w:szCs w:val="22"/>
        </w:rPr>
        <w:t>klageordningen skulle indgå i nærværende evaluering og redegørelse med henblik på politisk stilling</w:t>
      </w:r>
      <w:r w:rsidR="00AF707A" w:rsidRPr="000D4513">
        <w:rPr>
          <w:szCs w:val="22"/>
        </w:rPr>
        <w:t>tagen</w:t>
      </w:r>
      <w:r w:rsidR="001A2403" w:rsidRPr="000D4513">
        <w:rPr>
          <w:szCs w:val="22"/>
        </w:rPr>
        <w:t xml:space="preserve"> til </w:t>
      </w:r>
      <w:r w:rsidR="00AF707A" w:rsidRPr="000D4513">
        <w:rPr>
          <w:szCs w:val="22"/>
        </w:rPr>
        <w:t xml:space="preserve">spørgsmålet </w:t>
      </w:r>
      <w:r w:rsidR="0005411B">
        <w:rPr>
          <w:szCs w:val="22"/>
        </w:rPr>
        <w:t xml:space="preserve">om </w:t>
      </w:r>
      <w:r w:rsidR="001A2403" w:rsidRPr="000D4513">
        <w:rPr>
          <w:szCs w:val="22"/>
        </w:rPr>
        <w:t>permanentgørelse</w:t>
      </w:r>
      <w:r w:rsidRPr="000D4513">
        <w:rPr>
          <w:szCs w:val="22"/>
        </w:rPr>
        <w:t>.</w:t>
      </w:r>
      <w:r w:rsidR="001A2403" w:rsidRPr="000D4513">
        <w:rPr>
          <w:szCs w:val="22"/>
        </w:rPr>
        <w:t xml:space="preserve"> </w:t>
      </w:r>
      <w:r w:rsidR="0047623C" w:rsidRPr="000D4513">
        <w:rPr>
          <w:szCs w:val="22"/>
        </w:rPr>
        <w:t>I</w:t>
      </w:r>
      <w:r w:rsidR="001A2403" w:rsidRPr="000D4513">
        <w:rPr>
          <w:szCs w:val="22"/>
        </w:rPr>
        <w:t xml:space="preserve"> forbindelse med Folketinges behandling af ændringsloven var der imidlertid bekymring for, om det i forbindelse med nærværende evaluering og redegørelse ville være muligt at indsamle tilstrækkelige solide data til at foretage en vurdering af, om klageordningen har haft den tilsigtede virkning. På den baggrund blev det også i forarbejderne forudsat, at hele eller dele af evalueringen eventuelt må gentages på et senere tidspunkt</w:t>
      </w:r>
      <w:r w:rsidR="00AF707A" w:rsidRPr="000D4513">
        <w:rPr>
          <w:szCs w:val="22"/>
        </w:rPr>
        <w:t xml:space="preserve"> med henblik på senere politisk stillingtagen til spørgsmålet </w:t>
      </w:r>
      <w:r w:rsidR="0005411B">
        <w:rPr>
          <w:szCs w:val="22"/>
        </w:rPr>
        <w:t xml:space="preserve">om </w:t>
      </w:r>
      <w:r w:rsidR="00AF707A" w:rsidRPr="000D4513">
        <w:rPr>
          <w:szCs w:val="22"/>
        </w:rPr>
        <w:t>permanentgørelse, inden solnedgangsklausulen får virkning den 31. juli 2022</w:t>
      </w:r>
      <w:r w:rsidR="001A2403" w:rsidRPr="000D4513">
        <w:rPr>
          <w:szCs w:val="22"/>
        </w:rPr>
        <w:t>.</w:t>
      </w:r>
    </w:p>
    <w:p w14:paraId="26A043C4" w14:textId="77777777" w:rsidR="00241A45" w:rsidRPr="000D4513" w:rsidRDefault="00241A45" w:rsidP="007061AD">
      <w:pPr>
        <w:pStyle w:val="Brdtekst"/>
        <w:rPr>
          <w:szCs w:val="22"/>
        </w:rPr>
      </w:pPr>
    </w:p>
    <w:p w14:paraId="6D547CA2" w14:textId="77777777" w:rsidR="00E71A15" w:rsidRPr="000D4513" w:rsidRDefault="00B27E14" w:rsidP="007061AD">
      <w:pPr>
        <w:pStyle w:val="Overskrift1"/>
        <w:ind w:left="425" w:hanging="425"/>
        <w:rPr>
          <w:szCs w:val="22"/>
        </w:rPr>
      </w:pPr>
      <w:bookmarkStart w:id="12" w:name="_Toc50645524"/>
      <w:bookmarkStart w:id="13" w:name="_Toc54877177"/>
      <w:r w:rsidRPr="000D4513">
        <w:rPr>
          <w:szCs w:val="22"/>
        </w:rPr>
        <w:t>E</w:t>
      </w:r>
      <w:r w:rsidR="00E71A15" w:rsidRPr="000D4513">
        <w:rPr>
          <w:szCs w:val="22"/>
        </w:rPr>
        <w:t xml:space="preserve">valuering </w:t>
      </w:r>
      <w:r w:rsidR="00DD6A5D" w:rsidRPr="000D4513">
        <w:rPr>
          <w:szCs w:val="22"/>
        </w:rPr>
        <w:t>gennemført af Epinion</w:t>
      </w:r>
      <w:bookmarkEnd w:id="12"/>
      <w:bookmarkEnd w:id="13"/>
    </w:p>
    <w:p w14:paraId="5D3E4929" w14:textId="77777777" w:rsidR="00E71A15" w:rsidRPr="000D4513" w:rsidRDefault="00E71A15" w:rsidP="007061AD">
      <w:pPr>
        <w:rPr>
          <w:i/>
          <w:szCs w:val="22"/>
        </w:rPr>
      </w:pPr>
      <w:r w:rsidRPr="000D4513">
        <w:rPr>
          <w:szCs w:val="22"/>
        </w:rPr>
        <w:t xml:space="preserve">Ministeriet har som første del af lovovervågningen fået udarbejdet </w:t>
      </w:r>
      <w:r w:rsidRPr="000D4513">
        <w:rPr>
          <w:i/>
          <w:szCs w:val="22"/>
        </w:rPr>
        <w:t xml:space="preserve">Evaluering af antimobbebestemmelser og Den Nationale Klageinstans mod Mobning </w:t>
      </w:r>
      <w:r w:rsidRPr="000D4513">
        <w:rPr>
          <w:szCs w:val="22"/>
        </w:rPr>
        <w:t>(Epinion</w:t>
      </w:r>
      <w:r w:rsidR="00637AF9" w:rsidRPr="000D4513">
        <w:rPr>
          <w:szCs w:val="22"/>
        </w:rPr>
        <w:t>, juni</w:t>
      </w:r>
      <w:r w:rsidRPr="000D4513">
        <w:rPr>
          <w:szCs w:val="22"/>
        </w:rPr>
        <w:t xml:space="preserve"> 2020) samt </w:t>
      </w:r>
      <w:r w:rsidRPr="000D4513">
        <w:rPr>
          <w:i/>
          <w:szCs w:val="22"/>
        </w:rPr>
        <w:t xml:space="preserve">Perspektivering til Evaluering af antimobbebestemmelser og Den Nationale Klageinstans mod Mobning </w:t>
      </w:r>
      <w:r w:rsidRPr="000D4513">
        <w:rPr>
          <w:szCs w:val="22"/>
        </w:rPr>
        <w:t>(Epinion</w:t>
      </w:r>
      <w:r w:rsidR="00637AF9" w:rsidRPr="000D4513">
        <w:rPr>
          <w:szCs w:val="22"/>
        </w:rPr>
        <w:t>,</w:t>
      </w:r>
      <w:r w:rsidRPr="000D4513">
        <w:rPr>
          <w:szCs w:val="22"/>
        </w:rPr>
        <w:t xml:space="preserve"> </w:t>
      </w:r>
      <w:r w:rsidR="00637AF9" w:rsidRPr="000D4513">
        <w:rPr>
          <w:szCs w:val="22"/>
        </w:rPr>
        <w:t xml:space="preserve">juni </w:t>
      </w:r>
      <w:r w:rsidRPr="000D4513">
        <w:rPr>
          <w:szCs w:val="22"/>
        </w:rPr>
        <w:t xml:space="preserve">2020). </w:t>
      </w:r>
    </w:p>
    <w:p w14:paraId="3989A2E8" w14:textId="77777777" w:rsidR="00E71A15" w:rsidRPr="000D4513" w:rsidRDefault="00E71A15" w:rsidP="007061AD">
      <w:pPr>
        <w:rPr>
          <w:szCs w:val="22"/>
        </w:rPr>
      </w:pPr>
    </w:p>
    <w:p w14:paraId="703B5F2B" w14:textId="77777777" w:rsidR="00E71A15" w:rsidRPr="000D4513" w:rsidRDefault="00E71A15" w:rsidP="007061AD">
      <w:pPr>
        <w:pStyle w:val="Brdtekst"/>
        <w:rPr>
          <w:szCs w:val="22"/>
        </w:rPr>
      </w:pPr>
      <w:r w:rsidRPr="000D4513">
        <w:rPr>
          <w:szCs w:val="22"/>
        </w:rPr>
        <w:t>Epinions evaluering og perspektivering har danne</w:t>
      </w:r>
      <w:r w:rsidR="001A2403" w:rsidRPr="000D4513">
        <w:rPr>
          <w:szCs w:val="22"/>
        </w:rPr>
        <w:t>t</w:t>
      </w:r>
      <w:r w:rsidRPr="000D4513">
        <w:rPr>
          <w:szCs w:val="22"/>
        </w:rPr>
        <w:t xml:space="preserve"> udgangspunktet for de</w:t>
      </w:r>
      <w:r w:rsidR="001A2403" w:rsidRPr="000D4513">
        <w:rPr>
          <w:szCs w:val="22"/>
        </w:rPr>
        <w:t xml:space="preserve">n første eksterne høring </w:t>
      </w:r>
      <w:r w:rsidRPr="000D4513">
        <w:rPr>
          <w:szCs w:val="22"/>
        </w:rPr>
        <w:t xml:space="preserve">og for denne redegørelse </w:t>
      </w:r>
      <w:r w:rsidR="00637AF9" w:rsidRPr="000D4513">
        <w:rPr>
          <w:szCs w:val="22"/>
        </w:rPr>
        <w:t xml:space="preserve">til </w:t>
      </w:r>
      <w:r w:rsidRPr="000D4513">
        <w:rPr>
          <w:szCs w:val="22"/>
        </w:rPr>
        <w:t xml:space="preserve">Folketingets Børne- og Undervisningsudvalg. </w:t>
      </w:r>
    </w:p>
    <w:p w14:paraId="30BEDA00" w14:textId="77777777" w:rsidR="00902BDE" w:rsidRPr="000D4513" w:rsidRDefault="00902BDE" w:rsidP="007061AD">
      <w:pPr>
        <w:pStyle w:val="Brdtekst"/>
        <w:rPr>
          <w:szCs w:val="22"/>
        </w:rPr>
      </w:pPr>
    </w:p>
    <w:p w14:paraId="24BE02B3" w14:textId="4E63CD69" w:rsidR="008F7205" w:rsidRPr="000D4513" w:rsidRDefault="00670CD0" w:rsidP="007061AD">
      <w:pPr>
        <w:rPr>
          <w:szCs w:val="22"/>
        </w:rPr>
      </w:pPr>
      <w:r w:rsidRPr="000D4513">
        <w:rPr>
          <w:szCs w:val="22"/>
        </w:rPr>
        <w:t xml:space="preserve">Hovedresultaterne af Epinions evaluering er refereret i afsnit </w:t>
      </w:r>
      <w:r w:rsidRPr="000D4513">
        <w:rPr>
          <w:szCs w:val="22"/>
        </w:rPr>
        <w:fldChar w:fldCharType="begin"/>
      </w:r>
      <w:r w:rsidRPr="000D4513">
        <w:rPr>
          <w:szCs w:val="22"/>
        </w:rPr>
        <w:instrText xml:space="preserve"> REF _Ref52719408 \r \h  \* MERGEFORMAT </w:instrText>
      </w:r>
      <w:r w:rsidRPr="000D4513">
        <w:rPr>
          <w:szCs w:val="22"/>
        </w:rPr>
      </w:r>
      <w:r w:rsidRPr="000D4513">
        <w:rPr>
          <w:szCs w:val="22"/>
        </w:rPr>
        <w:fldChar w:fldCharType="separate"/>
      </w:r>
      <w:r w:rsidR="00D75B58" w:rsidRPr="000D4513">
        <w:rPr>
          <w:szCs w:val="22"/>
        </w:rPr>
        <w:t>7</w:t>
      </w:r>
      <w:r w:rsidRPr="000D4513">
        <w:rPr>
          <w:szCs w:val="22"/>
        </w:rPr>
        <w:fldChar w:fldCharType="end"/>
      </w:r>
      <w:r w:rsidRPr="000D4513">
        <w:rPr>
          <w:szCs w:val="22"/>
        </w:rPr>
        <w:t>-</w:t>
      </w:r>
      <w:r w:rsidR="0047623C" w:rsidRPr="000D4513">
        <w:rPr>
          <w:szCs w:val="22"/>
        </w:rPr>
        <w:fldChar w:fldCharType="begin"/>
      </w:r>
      <w:r w:rsidR="0047623C" w:rsidRPr="000D4513">
        <w:rPr>
          <w:szCs w:val="22"/>
        </w:rPr>
        <w:instrText xml:space="preserve"> REF _Ref52960991 \r \h </w:instrText>
      </w:r>
      <w:r w:rsidR="000D4513">
        <w:rPr>
          <w:szCs w:val="22"/>
        </w:rPr>
        <w:instrText xml:space="preserve"> \* MERGEFORMAT </w:instrText>
      </w:r>
      <w:r w:rsidR="0047623C" w:rsidRPr="000D4513">
        <w:rPr>
          <w:szCs w:val="22"/>
        </w:rPr>
      </w:r>
      <w:r w:rsidR="0047623C" w:rsidRPr="000D4513">
        <w:rPr>
          <w:szCs w:val="22"/>
        </w:rPr>
        <w:fldChar w:fldCharType="separate"/>
      </w:r>
      <w:r w:rsidR="0047623C" w:rsidRPr="000D4513">
        <w:rPr>
          <w:szCs w:val="22"/>
        </w:rPr>
        <w:t>10</w:t>
      </w:r>
      <w:r w:rsidR="0047623C" w:rsidRPr="000D4513">
        <w:rPr>
          <w:szCs w:val="22"/>
        </w:rPr>
        <w:fldChar w:fldCharType="end"/>
      </w:r>
      <w:r w:rsidRPr="000D4513">
        <w:rPr>
          <w:szCs w:val="22"/>
        </w:rPr>
        <w:t xml:space="preserve">. </w:t>
      </w:r>
      <w:r w:rsidR="008F7205" w:rsidRPr="000D4513">
        <w:rPr>
          <w:szCs w:val="22"/>
        </w:rPr>
        <w:t xml:space="preserve">Epinions evaluering og perspektivering er </w:t>
      </w:r>
      <w:r w:rsidRPr="000D4513">
        <w:rPr>
          <w:szCs w:val="22"/>
        </w:rPr>
        <w:t xml:space="preserve">endvidere </w:t>
      </w:r>
      <w:r w:rsidR="008F7205" w:rsidRPr="000D4513">
        <w:rPr>
          <w:szCs w:val="22"/>
        </w:rPr>
        <w:t>vedlagt</w:t>
      </w:r>
      <w:r w:rsidRPr="000D4513">
        <w:rPr>
          <w:szCs w:val="22"/>
        </w:rPr>
        <w:t xml:space="preserve"> i deres helhed</w:t>
      </w:r>
      <w:r w:rsidR="008F7205" w:rsidRPr="000D4513">
        <w:rPr>
          <w:szCs w:val="22"/>
        </w:rPr>
        <w:t xml:space="preserve"> som særskilte bilag 1 og 2.</w:t>
      </w:r>
    </w:p>
    <w:p w14:paraId="287A588F" w14:textId="77777777" w:rsidR="00902BDE" w:rsidRPr="000D4513" w:rsidRDefault="00902BDE" w:rsidP="007061AD">
      <w:pPr>
        <w:pStyle w:val="Opstilling-punkttegn"/>
        <w:numPr>
          <w:ilvl w:val="0"/>
          <w:numId w:val="0"/>
        </w:numPr>
      </w:pPr>
    </w:p>
    <w:p w14:paraId="78A41D05" w14:textId="7D3A3E60" w:rsidR="00E71A15" w:rsidRPr="000D4513" w:rsidRDefault="008F7205" w:rsidP="007061AD">
      <w:pPr>
        <w:pStyle w:val="Brdtekst"/>
        <w:rPr>
          <w:szCs w:val="22"/>
        </w:rPr>
      </w:pPr>
      <w:r w:rsidRPr="000D4513">
        <w:rPr>
          <w:szCs w:val="22"/>
        </w:rPr>
        <w:t xml:space="preserve">I </w:t>
      </w:r>
      <w:r w:rsidR="00637AF9" w:rsidRPr="000D4513">
        <w:rPr>
          <w:szCs w:val="22"/>
        </w:rPr>
        <w:t>Epinions evaluering</w:t>
      </w:r>
      <w:r w:rsidR="001A2403" w:rsidRPr="000D4513">
        <w:rPr>
          <w:szCs w:val="22"/>
        </w:rPr>
        <w:t xml:space="preserve"> </w:t>
      </w:r>
      <w:r w:rsidRPr="000D4513">
        <w:rPr>
          <w:szCs w:val="22"/>
        </w:rPr>
        <w:t>indgår</w:t>
      </w:r>
      <w:r w:rsidR="00637AF9" w:rsidRPr="000D4513">
        <w:rPr>
          <w:szCs w:val="22"/>
        </w:rPr>
        <w:t xml:space="preserve"> </w:t>
      </w:r>
      <w:r w:rsidRPr="000D4513">
        <w:rPr>
          <w:szCs w:val="22"/>
        </w:rPr>
        <w:t xml:space="preserve">også </w:t>
      </w:r>
      <w:r w:rsidR="00000B0F" w:rsidRPr="000D4513">
        <w:rPr>
          <w:szCs w:val="22"/>
        </w:rPr>
        <w:t xml:space="preserve">Styrelsen for Undervisning og Kvalitets medieringsindsats, hvorefter styrelsens </w:t>
      </w:r>
      <w:r w:rsidR="001A2403" w:rsidRPr="000D4513">
        <w:rPr>
          <w:szCs w:val="22"/>
        </w:rPr>
        <w:t xml:space="preserve">læringskonsulenter tilbyder </w:t>
      </w:r>
      <w:r w:rsidR="00000B0F" w:rsidRPr="000D4513">
        <w:rPr>
          <w:szCs w:val="22"/>
        </w:rPr>
        <w:t xml:space="preserve">at </w:t>
      </w:r>
      <w:r w:rsidR="001A2403" w:rsidRPr="000D4513">
        <w:rPr>
          <w:szCs w:val="22"/>
        </w:rPr>
        <w:t>facilitere samtale</w:t>
      </w:r>
      <w:r w:rsidR="00000B0F" w:rsidRPr="000D4513">
        <w:rPr>
          <w:szCs w:val="22"/>
        </w:rPr>
        <w:t>r</w:t>
      </w:r>
      <w:r w:rsidR="001A2403" w:rsidRPr="000D4513">
        <w:rPr>
          <w:szCs w:val="22"/>
        </w:rPr>
        <w:t xml:space="preserve"> mellem forældre og skole </w:t>
      </w:r>
      <w:r w:rsidR="00000B0F" w:rsidRPr="000D4513">
        <w:rPr>
          <w:szCs w:val="22"/>
        </w:rPr>
        <w:t>i forbindelse med</w:t>
      </w:r>
      <w:r w:rsidR="001A2403" w:rsidRPr="000D4513">
        <w:rPr>
          <w:szCs w:val="22"/>
        </w:rPr>
        <w:t xml:space="preserve"> </w:t>
      </w:r>
      <w:r w:rsidR="00000B0F" w:rsidRPr="000D4513">
        <w:rPr>
          <w:szCs w:val="22"/>
        </w:rPr>
        <w:t>klage</w:t>
      </w:r>
      <w:r w:rsidR="001A2403" w:rsidRPr="000D4513">
        <w:rPr>
          <w:szCs w:val="22"/>
        </w:rPr>
        <w:t>sager</w:t>
      </w:r>
      <w:r w:rsidR="00000B0F" w:rsidRPr="000D4513">
        <w:rPr>
          <w:szCs w:val="22"/>
        </w:rPr>
        <w:t xml:space="preserve"> med henblik på </w:t>
      </w:r>
      <w:r w:rsidR="001A2403" w:rsidRPr="000D4513">
        <w:rPr>
          <w:szCs w:val="22"/>
        </w:rPr>
        <w:t xml:space="preserve">en fælles dialog om, hvordan eleven </w:t>
      </w:r>
      <w:r w:rsidR="00000B0F" w:rsidRPr="000D4513">
        <w:rPr>
          <w:szCs w:val="22"/>
        </w:rPr>
        <w:t xml:space="preserve">kan hjælpes </w:t>
      </w:r>
      <w:r w:rsidR="001A2403" w:rsidRPr="000D4513">
        <w:rPr>
          <w:szCs w:val="22"/>
        </w:rPr>
        <w:t>til at trives bedre</w:t>
      </w:r>
      <w:r w:rsidR="00000B0F" w:rsidRPr="000D4513">
        <w:rPr>
          <w:szCs w:val="22"/>
        </w:rPr>
        <w:t>. Nærværende</w:t>
      </w:r>
      <w:r w:rsidR="001A2403" w:rsidRPr="000D4513">
        <w:rPr>
          <w:szCs w:val="22"/>
        </w:rPr>
        <w:t xml:space="preserve"> redegørelse</w:t>
      </w:r>
      <w:r w:rsidR="00E71A15" w:rsidRPr="000D4513">
        <w:rPr>
          <w:szCs w:val="22"/>
        </w:rPr>
        <w:t xml:space="preserve"> </w:t>
      </w:r>
      <w:r w:rsidR="00000B0F" w:rsidRPr="000D4513">
        <w:rPr>
          <w:szCs w:val="22"/>
        </w:rPr>
        <w:t xml:space="preserve">vil imidlertid ikke omhandle medieringsindsatsen, som er blevet til som et selvstændigt initiativ i regi af et satspuljeprojekt, men </w:t>
      </w:r>
      <w:r w:rsidR="00E71A15" w:rsidRPr="000D4513">
        <w:rPr>
          <w:szCs w:val="22"/>
        </w:rPr>
        <w:t>alene de regler om antimobning</w:t>
      </w:r>
      <w:r w:rsidR="00000B0F" w:rsidRPr="000D4513">
        <w:rPr>
          <w:szCs w:val="22"/>
        </w:rPr>
        <w:t>, klage</w:t>
      </w:r>
      <w:r w:rsidR="00E71A15" w:rsidRPr="000D4513">
        <w:rPr>
          <w:szCs w:val="22"/>
        </w:rPr>
        <w:t xml:space="preserve"> og tilsyn, der med </w:t>
      </w:r>
      <w:r w:rsidR="00000B0F" w:rsidRPr="000D4513">
        <w:rPr>
          <w:szCs w:val="22"/>
        </w:rPr>
        <w:t xml:space="preserve">lov nr. 311 af 4. april 2017 blev </w:t>
      </w:r>
      <w:r w:rsidR="0047623C" w:rsidRPr="000D4513">
        <w:rPr>
          <w:szCs w:val="22"/>
        </w:rPr>
        <w:t>udvalgt til</w:t>
      </w:r>
      <w:r w:rsidR="00000B0F" w:rsidRPr="000D4513">
        <w:rPr>
          <w:szCs w:val="22"/>
        </w:rPr>
        <w:t xml:space="preserve"> lovovervågning</w:t>
      </w:r>
      <w:r w:rsidR="00E71A15" w:rsidRPr="000D4513">
        <w:rPr>
          <w:szCs w:val="22"/>
        </w:rPr>
        <w:t>.</w:t>
      </w:r>
    </w:p>
    <w:p w14:paraId="4AFA3610" w14:textId="77777777" w:rsidR="00241A45" w:rsidRPr="000D4513" w:rsidRDefault="00241A45" w:rsidP="007061AD">
      <w:pPr>
        <w:rPr>
          <w:rFonts w:eastAsia="Times New Roman" w:cs="Times New Roman"/>
          <w:color w:val="000000"/>
          <w:szCs w:val="22"/>
          <w:lang w:eastAsia="da-DK"/>
        </w:rPr>
      </w:pPr>
    </w:p>
    <w:p w14:paraId="7BF8D75B" w14:textId="77777777" w:rsidR="00AF707A" w:rsidRPr="000D4513" w:rsidRDefault="00AF707A" w:rsidP="007061AD">
      <w:pPr>
        <w:pStyle w:val="Overskrift1"/>
        <w:ind w:left="425" w:hanging="425"/>
        <w:rPr>
          <w:szCs w:val="22"/>
        </w:rPr>
      </w:pPr>
      <w:bookmarkStart w:id="14" w:name="_Toc54877178"/>
      <w:r w:rsidRPr="000D4513">
        <w:rPr>
          <w:szCs w:val="22"/>
        </w:rPr>
        <w:t>Høring</w:t>
      </w:r>
      <w:r w:rsidR="00276511" w:rsidRPr="000D4513">
        <w:rPr>
          <w:szCs w:val="22"/>
        </w:rPr>
        <w:t>sproces</w:t>
      </w:r>
      <w:r w:rsidRPr="000D4513">
        <w:rPr>
          <w:szCs w:val="22"/>
        </w:rPr>
        <w:t xml:space="preserve"> m.v.</w:t>
      </w:r>
      <w:bookmarkEnd w:id="14"/>
    </w:p>
    <w:p w14:paraId="146AAC35" w14:textId="77777777" w:rsidR="008D392E" w:rsidRPr="000D4513" w:rsidRDefault="008D392E" w:rsidP="007061AD">
      <w:pPr>
        <w:pStyle w:val="Brdtekst"/>
        <w:rPr>
          <w:szCs w:val="22"/>
        </w:rPr>
      </w:pPr>
      <w:r w:rsidRPr="000D4513">
        <w:rPr>
          <w:szCs w:val="22"/>
        </w:rPr>
        <w:t>Inddragelse af organisationer og myndigheder har forløbet i to faser.</w:t>
      </w:r>
    </w:p>
    <w:p w14:paraId="5B5D2154" w14:textId="77777777" w:rsidR="008D392E" w:rsidRPr="000D4513" w:rsidRDefault="008D392E" w:rsidP="007061AD">
      <w:pPr>
        <w:pStyle w:val="Brdtekst"/>
        <w:rPr>
          <w:szCs w:val="22"/>
        </w:rPr>
      </w:pPr>
    </w:p>
    <w:p w14:paraId="1ED47693" w14:textId="77777777" w:rsidR="00AF707A" w:rsidRPr="000D4513" w:rsidRDefault="00AF707A" w:rsidP="007061AD">
      <w:pPr>
        <w:pStyle w:val="Brdtekst"/>
        <w:rPr>
          <w:szCs w:val="22"/>
        </w:rPr>
      </w:pPr>
      <w:r w:rsidRPr="000D4513">
        <w:rPr>
          <w:szCs w:val="22"/>
        </w:rPr>
        <w:t xml:space="preserve">I første fase bad ministeriet om bemærkninger til konklusionerne i </w:t>
      </w:r>
      <w:r w:rsidRPr="000D4513">
        <w:rPr>
          <w:i/>
          <w:szCs w:val="22"/>
        </w:rPr>
        <w:t xml:space="preserve">Evaluering af antimobbebestemmelser og Den Nationale Klageinstans mod Mobning </w:t>
      </w:r>
      <w:r w:rsidR="008D392E" w:rsidRPr="000D4513">
        <w:rPr>
          <w:szCs w:val="22"/>
        </w:rPr>
        <w:t xml:space="preserve">(Epinion, juni </w:t>
      </w:r>
      <w:r w:rsidRPr="000D4513">
        <w:rPr>
          <w:szCs w:val="22"/>
        </w:rPr>
        <w:t xml:space="preserve">2020) og </w:t>
      </w:r>
      <w:r w:rsidRPr="000D4513">
        <w:rPr>
          <w:i/>
          <w:szCs w:val="22"/>
        </w:rPr>
        <w:t xml:space="preserve">Perspektivering til Evaluering af antimobbebestemmelser og Den Nationale Klageinstans mod Mobning </w:t>
      </w:r>
      <w:r w:rsidRPr="000D4513">
        <w:rPr>
          <w:szCs w:val="22"/>
        </w:rPr>
        <w:t>(Epinion</w:t>
      </w:r>
      <w:r w:rsidR="008D392E" w:rsidRPr="000D4513">
        <w:rPr>
          <w:szCs w:val="22"/>
        </w:rPr>
        <w:t>, juni</w:t>
      </w:r>
      <w:r w:rsidRPr="000D4513">
        <w:rPr>
          <w:szCs w:val="22"/>
        </w:rPr>
        <w:t xml:space="preserve"> 2020).</w:t>
      </w:r>
    </w:p>
    <w:p w14:paraId="57D59DD2" w14:textId="77777777" w:rsidR="00AF707A" w:rsidRPr="000D4513" w:rsidRDefault="00AF707A" w:rsidP="007061AD">
      <w:pPr>
        <w:pStyle w:val="Brdtekst"/>
        <w:rPr>
          <w:szCs w:val="22"/>
        </w:rPr>
      </w:pPr>
    </w:p>
    <w:p w14:paraId="391478E0" w14:textId="77777777" w:rsidR="00AF707A" w:rsidRPr="000D4513" w:rsidRDefault="008D392E" w:rsidP="007061AD">
      <w:pPr>
        <w:rPr>
          <w:szCs w:val="22"/>
        </w:rPr>
      </w:pPr>
      <w:r w:rsidRPr="000D4513">
        <w:rPr>
          <w:szCs w:val="22"/>
        </w:rPr>
        <w:t xml:space="preserve">I anden fase bad ministeriet de samme eksterne parter om bemærkninger til </w:t>
      </w:r>
      <w:r w:rsidR="00AF707A" w:rsidRPr="000D4513">
        <w:rPr>
          <w:szCs w:val="22"/>
        </w:rPr>
        <w:t xml:space="preserve">et udkast til </w:t>
      </w:r>
      <w:r w:rsidRPr="000D4513">
        <w:rPr>
          <w:szCs w:val="22"/>
        </w:rPr>
        <w:t xml:space="preserve">nærværende </w:t>
      </w:r>
      <w:r w:rsidR="00AF707A" w:rsidRPr="000D4513">
        <w:rPr>
          <w:szCs w:val="22"/>
        </w:rPr>
        <w:t xml:space="preserve">redegørelse, som </w:t>
      </w:r>
      <w:r w:rsidRPr="000D4513">
        <w:rPr>
          <w:szCs w:val="22"/>
        </w:rPr>
        <w:t xml:space="preserve">blev udarbejdet på baggrund af de modtagne høringssvar i første fase samt Epinions evaluering og </w:t>
      </w:r>
      <w:r w:rsidR="00670CD0" w:rsidRPr="000D4513">
        <w:rPr>
          <w:szCs w:val="22"/>
        </w:rPr>
        <w:t>perspektivering</w:t>
      </w:r>
      <w:r w:rsidR="00AF707A" w:rsidRPr="000D4513">
        <w:rPr>
          <w:szCs w:val="22"/>
        </w:rPr>
        <w:t>.</w:t>
      </w:r>
    </w:p>
    <w:p w14:paraId="616DFF51" w14:textId="77777777" w:rsidR="002E0E3B" w:rsidRPr="000D4513" w:rsidRDefault="002E0E3B" w:rsidP="007061AD">
      <w:pPr>
        <w:shd w:val="clear" w:color="auto" w:fill="FFFFFF"/>
        <w:rPr>
          <w:rFonts w:eastAsia="Times New Roman" w:cs="Times New Roman"/>
          <w:color w:val="000000"/>
          <w:szCs w:val="22"/>
          <w:lang w:eastAsia="da-DK"/>
        </w:rPr>
      </w:pPr>
    </w:p>
    <w:p w14:paraId="53E8AD60" w14:textId="11ABD96C" w:rsidR="002E0E3B" w:rsidRPr="000D4513" w:rsidRDefault="002E0E3B" w:rsidP="007061AD">
      <w:pPr>
        <w:pStyle w:val="Brdtekst"/>
        <w:rPr>
          <w:szCs w:val="22"/>
        </w:rPr>
      </w:pPr>
      <w:r w:rsidRPr="000D4513">
        <w:rPr>
          <w:szCs w:val="22"/>
        </w:rPr>
        <w:t xml:space="preserve">I alt 102 organisationer og myndigheder har deltaget i høringen. </w:t>
      </w:r>
      <w:r w:rsidR="0047623C" w:rsidRPr="000D4513">
        <w:rPr>
          <w:szCs w:val="22"/>
        </w:rPr>
        <w:t>D</w:t>
      </w:r>
      <w:r w:rsidRPr="000D4513">
        <w:rPr>
          <w:szCs w:val="22"/>
        </w:rPr>
        <w:t xml:space="preserve">er </w:t>
      </w:r>
      <w:r w:rsidR="0047623C" w:rsidRPr="000D4513">
        <w:rPr>
          <w:szCs w:val="22"/>
        </w:rPr>
        <w:t xml:space="preserve">er i </w:t>
      </w:r>
      <w:r w:rsidRPr="000D4513">
        <w:rPr>
          <w:szCs w:val="22"/>
        </w:rPr>
        <w:t xml:space="preserve">første fase modtaget </w:t>
      </w:r>
      <w:r w:rsidR="00154352" w:rsidRPr="000D4513">
        <w:rPr>
          <w:szCs w:val="22"/>
        </w:rPr>
        <w:t>3</w:t>
      </w:r>
      <w:r w:rsidR="009B3324" w:rsidRPr="000D4513">
        <w:rPr>
          <w:szCs w:val="22"/>
        </w:rPr>
        <w:t>9</w:t>
      </w:r>
      <w:r w:rsidR="00154352" w:rsidRPr="000D4513">
        <w:rPr>
          <w:szCs w:val="22"/>
        </w:rPr>
        <w:t xml:space="preserve"> </w:t>
      </w:r>
      <w:r w:rsidRPr="000D4513">
        <w:rPr>
          <w:szCs w:val="22"/>
        </w:rPr>
        <w:t xml:space="preserve">høringssvar, heraf </w:t>
      </w:r>
      <w:r w:rsidR="009B3324" w:rsidRPr="000D4513">
        <w:rPr>
          <w:szCs w:val="22"/>
        </w:rPr>
        <w:t>30</w:t>
      </w:r>
      <w:r w:rsidR="00154352" w:rsidRPr="000D4513">
        <w:rPr>
          <w:szCs w:val="22"/>
        </w:rPr>
        <w:t xml:space="preserve"> </w:t>
      </w:r>
      <w:r w:rsidRPr="000D4513">
        <w:rPr>
          <w:szCs w:val="22"/>
        </w:rPr>
        <w:t xml:space="preserve">med indholdsbemærkninger. Det </w:t>
      </w:r>
      <w:r w:rsidR="0079421C" w:rsidRPr="000D4513">
        <w:rPr>
          <w:szCs w:val="22"/>
        </w:rPr>
        <w:t>bemærkes, at en række høringsparter har afgivet separate, men enslydende høringssvar, mens andre høringsparter har afgivet fælles høringssvar</w:t>
      </w:r>
      <w:r w:rsidRPr="000D4513">
        <w:rPr>
          <w:szCs w:val="22"/>
        </w:rPr>
        <w:t>. I anden fase er der modtaget [xx</w:t>
      </w:r>
      <w:r w:rsidR="00A120A1" w:rsidRPr="000D4513">
        <w:rPr>
          <w:szCs w:val="22"/>
        </w:rPr>
        <w:t xml:space="preserve"> </w:t>
      </w:r>
      <w:r w:rsidR="00A120A1" w:rsidRPr="000D4513">
        <w:rPr>
          <w:i/>
          <w:szCs w:val="22"/>
        </w:rPr>
        <w:t>afventer 2. eksterne høring</w:t>
      </w:r>
      <w:r w:rsidRPr="000D4513">
        <w:rPr>
          <w:szCs w:val="22"/>
        </w:rPr>
        <w:t>] høringssvar, heraf [xx</w:t>
      </w:r>
      <w:r w:rsidR="00A120A1" w:rsidRPr="000D4513">
        <w:rPr>
          <w:szCs w:val="22"/>
        </w:rPr>
        <w:t xml:space="preserve"> </w:t>
      </w:r>
      <w:r w:rsidR="00A120A1" w:rsidRPr="000D4513">
        <w:rPr>
          <w:i/>
          <w:szCs w:val="22"/>
        </w:rPr>
        <w:t>afventer 2. eksterne høring</w:t>
      </w:r>
      <w:r w:rsidRPr="000D4513">
        <w:rPr>
          <w:szCs w:val="22"/>
        </w:rPr>
        <w:t>] med indholdsbemærkninger.</w:t>
      </w:r>
    </w:p>
    <w:p w14:paraId="20502BBF" w14:textId="77777777" w:rsidR="002E0E3B" w:rsidRPr="000D4513" w:rsidRDefault="002E0E3B" w:rsidP="007061AD">
      <w:pPr>
        <w:shd w:val="clear" w:color="auto" w:fill="FFFFFF"/>
        <w:rPr>
          <w:rFonts w:eastAsia="Times New Roman" w:cs="Times New Roman"/>
          <w:color w:val="000000"/>
          <w:szCs w:val="22"/>
          <w:lang w:eastAsia="da-DK"/>
        </w:rPr>
      </w:pPr>
    </w:p>
    <w:p w14:paraId="3EAAF922" w14:textId="77777777" w:rsidR="00670CD0" w:rsidRPr="000D4513" w:rsidRDefault="00AF707A" w:rsidP="007061AD">
      <w:pPr>
        <w:rPr>
          <w:szCs w:val="22"/>
        </w:rPr>
      </w:pPr>
      <w:r w:rsidRPr="000D4513">
        <w:rPr>
          <w:rFonts w:eastAsia="Times New Roman" w:cs="Times New Roman"/>
          <w:color w:val="000000"/>
          <w:szCs w:val="22"/>
          <w:lang w:eastAsia="da-DK"/>
        </w:rPr>
        <w:t>Der har herudover for interesserede organisationer og myndigheder den 25. september 2020 været afholdt en teknisk gennemgang af</w:t>
      </w:r>
      <w:r w:rsidR="00670CD0" w:rsidRPr="000D4513">
        <w:rPr>
          <w:rFonts w:eastAsia="Times New Roman" w:cs="Times New Roman"/>
          <w:color w:val="000000"/>
          <w:szCs w:val="22"/>
          <w:lang w:eastAsia="da-DK"/>
        </w:rPr>
        <w:t xml:space="preserve"> konklusionerne i </w:t>
      </w:r>
      <w:r w:rsidR="00670CD0" w:rsidRPr="000D4513">
        <w:rPr>
          <w:szCs w:val="22"/>
        </w:rPr>
        <w:t>Epinions evaluering</w:t>
      </w:r>
      <w:r w:rsidRPr="000D4513">
        <w:rPr>
          <w:szCs w:val="22"/>
        </w:rPr>
        <w:t>.</w:t>
      </w:r>
    </w:p>
    <w:p w14:paraId="4024506A" w14:textId="77777777" w:rsidR="00AF707A" w:rsidRPr="000D4513" w:rsidRDefault="00AF707A" w:rsidP="007061AD">
      <w:pPr>
        <w:rPr>
          <w:rFonts w:eastAsia="Times New Roman" w:cs="Times New Roman"/>
          <w:color w:val="000000"/>
          <w:szCs w:val="22"/>
          <w:lang w:eastAsia="da-DK"/>
        </w:rPr>
      </w:pPr>
    </w:p>
    <w:p w14:paraId="4C2DBBCA" w14:textId="3E77DD50" w:rsidR="00A120A1" w:rsidRPr="000D4513" w:rsidRDefault="00154352" w:rsidP="00A120A1">
      <w:pPr>
        <w:rPr>
          <w:szCs w:val="22"/>
        </w:rPr>
      </w:pPr>
      <w:r w:rsidRPr="000D4513">
        <w:rPr>
          <w:szCs w:val="22"/>
        </w:rPr>
        <w:t>Høringssvarenes h</w:t>
      </w:r>
      <w:r w:rsidR="00276511" w:rsidRPr="000D4513">
        <w:rPr>
          <w:szCs w:val="22"/>
        </w:rPr>
        <w:t>ovedsynspunkter</w:t>
      </w:r>
      <w:r w:rsidR="00F532FC" w:rsidRPr="000D4513">
        <w:rPr>
          <w:szCs w:val="22"/>
        </w:rPr>
        <w:t xml:space="preserve"> og -anbefalinger</w:t>
      </w:r>
      <w:r w:rsidR="00276511" w:rsidRPr="000D4513">
        <w:rPr>
          <w:szCs w:val="22"/>
        </w:rPr>
        <w:t xml:space="preserve"> er </w:t>
      </w:r>
      <w:r w:rsidRPr="000D4513">
        <w:rPr>
          <w:szCs w:val="22"/>
        </w:rPr>
        <w:t>gengivet</w:t>
      </w:r>
      <w:r w:rsidR="00276511" w:rsidRPr="000D4513">
        <w:rPr>
          <w:szCs w:val="22"/>
        </w:rPr>
        <w:t xml:space="preserve"> i </w:t>
      </w:r>
      <w:r w:rsidR="00A120A1" w:rsidRPr="000D4513">
        <w:rPr>
          <w:szCs w:val="22"/>
        </w:rPr>
        <w:t xml:space="preserve">redegørelsens </w:t>
      </w:r>
      <w:r w:rsidR="00276511" w:rsidRPr="000D4513">
        <w:rPr>
          <w:szCs w:val="22"/>
        </w:rPr>
        <w:t xml:space="preserve">afsnit </w:t>
      </w:r>
      <w:r w:rsidR="00397BF9" w:rsidRPr="000D4513">
        <w:rPr>
          <w:szCs w:val="22"/>
        </w:rPr>
        <w:fldChar w:fldCharType="begin"/>
      </w:r>
      <w:r w:rsidR="00397BF9" w:rsidRPr="000D4513">
        <w:rPr>
          <w:szCs w:val="22"/>
        </w:rPr>
        <w:instrText xml:space="preserve"> REF _Ref52960969 \r \h </w:instrText>
      </w:r>
      <w:r w:rsidR="000D4513">
        <w:rPr>
          <w:szCs w:val="22"/>
        </w:rPr>
        <w:instrText xml:space="preserve"> \* MERGEFORMAT </w:instrText>
      </w:r>
      <w:r w:rsidR="00397BF9" w:rsidRPr="000D4513">
        <w:rPr>
          <w:szCs w:val="22"/>
        </w:rPr>
      </w:r>
      <w:r w:rsidR="00397BF9" w:rsidRPr="000D4513">
        <w:rPr>
          <w:szCs w:val="22"/>
        </w:rPr>
        <w:fldChar w:fldCharType="separate"/>
      </w:r>
      <w:r w:rsidR="00D75B58" w:rsidRPr="000D4513">
        <w:rPr>
          <w:szCs w:val="22"/>
        </w:rPr>
        <w:t>6</w:t>
      </w:r>
      <w:r w:rsidR="00397BF9" w:rsidRPr="000D4513">
        <w:rPr>
          <w:szCs w:val="22"/>
        </w:rPr>
        <w:fldChar w:fldCharType="end"/>
      </w:r>
      <w:r w:rsidR="00276511" w:rsidRPr="000D4513">
        <w:rPr>
          <w:szCs w:val="22"/>
        </w:rPr>
        <w:t>-</w:t>
      </w:r>
      <w:r w:rsidR="00397BF9" w:rsidRPr="000D4513">
        <w:rPr>
          <w:szCs w:val="22"/>
        </w:rPr>
        <w:fldChar w:fldCharType="begin"/>
      </w:r>
      <w:r w:rsidR="00397BF9" w:rsidRPr="000D4513">
        <w:rPr>
          <w:szCs w:val="22"/>
        </w:rPr>
        <w:instrText xml:space="preserve"> REF _Ref52960991 \r \h </w:instrText>
      </w:r>
      <w:r w:rsidR="000D4513">
        <w:rPr>
          <w:szCs w:val="22"/>
        </w:rPr>
        <w:instrText xml:space="preserve"> \* MERGEFORMAT </w:instrText>
      </w:r>
      <w:r w:rsidR="00397BF9" w:rsidRPr="000D4513">
        <w:rPr>
          <w:szCs w:val="22"/>
        </w:rPr>
      </w:r>
      <w:r w:rsidR="00397BF9" w:rsidRPr="000D4513">
        <w:rPr>
          <w:szCs w:val="22"/>
        </w:rPr>
        <w:fldChar w:fldCharType="separate"/>
      </w:r>
      <w:r w:rsidR="00D75B58" w:rsidRPr="000D4513">
        <w:rPr>
          <w:szCs w:val="22"/>
        </w:rPr>
        <w:t>10</w:t>
      </w:r>
      <w:r w:rsidR="00397BF9" w:rsidRPr="000D4513">
        <w:rPr>
          <w:szCs w:val="22"/>
        </w:rPr>
        <w:fldChar w:fldCharType="end"/>
      </w:r>
      <w:r w:rsidR="00276511" w:rsidRPr="000D4513">
        <w:rPr>
          <w:szCs w:val="22"/>
        </w:rPr>
        <w:t xml:space="preserve"> </w:t>
      </w:r>
      <w:r w:rsidR="00A120A1" w:rsidRPr="000D4513">
        <w:rPr>
          <w:szCs w:val="22"/>
        </w:rPr>
        <w:t>efterfulgt af</w:t>
      </w:r>
      <w:r w:rsidR="0079421C" w:rsidRPr="000D4513">
        <w:rPr>
          <w:szCs w:val="22"/>
        </w:rPr>
        <w:t xml:space="preserve"> ministeriets bemærkninger og overvejelser</w:t>
      </w:r>
      <w:r w:rsidR="00276511" w:rsidRPr="000D4513">
        <w:rPr>
          <w:szCs w:val="22"/>
        </w:rPr>
        <w:t>.</w:t>
      </w:r>
      <w:r w:rsidR="00670CD0" w:rsidRPr="000D4513">
        <w:rPr>
          <w:szCs w:val="22"/>
        </w:rPr>
        <w:t xml:space="preserve"> </w:t>
      </w:r>
      <w:r w:rsidR="00A120A1" w:rsidRPr="000D4513">
        <w:rPr>
          <w:szCs w:val="22"/>
        </w:rPr>
        <w:t>Me</w:t>
      </w:r>
      <w:r w:rsidR="002C25F6">
        <w:rPr>
          <w:szCs w:val="22"/>
        </w:rPr>
        <w:t>d</w:t>
      </w:r>
      <w:r w:rsidR="00A120A1" w:rsidRPr="000D4513">
        <w:rPr>
          <w:szCs w:val="22"/>
        </w:rPr>
        <w:t xml:space="preserve"> hensyn til ministeriets bemærkninger </w:t>
      </w:r>
      <w:r w:rsidR="0047623C" w:rsidRPr="000D4513">
        <w:rPr>
          <w:szCs w:val="22"/>
        </w:rPr>
        <w:t xml:space="preserve">og overvejelser </w:t>
      </w:r>
      <w:r w:rsidR="00A120A1" w:rsidRPr="000D4513">
        <w:rPr>
          <w:szCs w:val="22"/>
        </w:rPr>
        <w:t xml:space="preserve">henvises endvidere til den samlede konklusion i redegørelsens afsnit </w:t>
      </w:r>
      <w:r w:rsidR="00A120A1" w:rsidRPr="000D4513">
        <w:rPr>
          <w:szCs w:val="22"/>
        </w:rPr>
        <w:fldChar w:fldCharType="begin"/>
      </w:r>
      <w:r w:rsidR="00A120A1" w:rsidRPr="000D4513">
        <w:rPr>
          <w:szCs w:val="22"/>
        </w:rPr>
        <w:instrText xml:space="preserve"> REF _Ref52973205 \r \h </w:instrText>
      </w:r>
      <w:r w:rsidR="000D4513">
        <w:rPr>
          <w:szCs w:val="22"/>
        </w:rPr>
        <w:instrText xml:space="preserve"> \* MERGEFORMAT </w:instrText>
      </w:r>
      <w:r w:rsidR="00A120A1" w:rsidRPr="000D4513">
        <w:rPr>
          <w:szCs w:val="22"/>
        </w:rPr>
      </w:r>
      <w:r w:rsidR="00A120A1" w:rsidRPr="000D4513">
        <w:rPr>
          <w:szCs w:val="22"/>
        </w:rPr>
        <w:fldChar w:fldCharType="separate"/>
      </w:r>
      <w:r w:rsidR="00D75B58" w:rsidRPr="000D4513">
        <w:rPr>
          <w:szCs w:val="22"/>
        </w:rPr>
        <w:t>11</w:t>
      </w:r>
      <w:r w:rsidR="00A120A1" w:rsidRPr="000D4513">
        <w:rPr>
          <w:szCs w:val="22"/>
        </w:rPr>
        <w:fldChar w:fldCharType="end"/>
      </w:r>
      <w:r w:rsidR="00A120A1" w:rsidRPr="000D4513">
        <w:rPr>
          <w:szCs w:val="22"/>
        </w:rPr>
        <w:t>.</w:t>
      </w:r>
    </w:p>
    <w:p w14:paraId="118A0097" w14:textId="77777777" w:rsidR="00A120A1" w:rsidRPr="000D4513" w:rsidRDefault="00A120A1" w:rsidP="007061AD">
      <w:pPr>
        <w:rPr>
          <w:szCs w:val="22"/>
        </w:rPr>
      </w:pPr>
    </w:p>
    <w:p w14:paraId="764549EA" w14:textId="77777777" w:rsidR="00A120A1" w:rsidRPr="000D4513" w:rsidRDefault="00397BF9" w:rsidP="007061AD">
      <w:pPr>
        <w:rPr>
          <w:szCs w:val="22"/>
        </w:rPr>
      </w:pPr>
      <w:r w:rsidRPr="000D4513">
        <w:rPr>
          <w:szCs w:val="22"/>
        </w:rPr>
        <w:t xml:space="preserve">For høringsparternes </w:t>
      </w:r>
      <w:r w:rsidR="00A120A1" w:rsidRPr="000D4513">
        <w:rPr>
          <w:szCs w:val="22"/>
        </w:rPr>
        <w:t>samlede</w:t>
      </w:r>
      <w:r w:rsidRPr="000D4513">
        <w:rPr>
          <w:szCs w:val="22"/>
        </w:rPr>
        <w:t xml:space="preserve"> synspunkter</w:t>
      </w:r>
      <w:r w:rsidR="00A120A1" w:rsidRPr="000D4513">
        <w:rPr>
          <w:szCs w:val="22"/>
        </w:rPr>
        <w:t xml:space="preserve"> og</w:t>
      </w:r>
      <w:r w:rsidR="009B3324" w:rsidRPr="000D4513">
        <w:rPr>
          <w:szCs w:val="22"/>
        </w:rPr>
        <w:t xml:space="preserve"> </w:t>
      </w:r>
      <w:r w:rsidR="00A120A1" w:rsidRPr="000D4513">
        <w:rPr>
          <w:szCs w:val="22"/>
        </w:rPr>
        <w:t>uddybninger</w:t>
      </w:r>
      <w:r w:rsidRPr="000D4513">
        <w:rPr>
          <w:szCs w:val="22"/>
        </w:rPr>
        <w:t xml:space="preserve"> henvises til de</w:t>
      </w:r>
      <w:r w:rsidR="00276511" w:rsidRPr="000D4513">
        <w:rPr>
          <w:szCs w:val="22"/>
        </w:rPr>
        <w:t xml:space="preserve"> afgivne h</w:t>
      </w:r>
      <w:r w:rsidR="00AF707A" w:rsidRPr="000D4513">
        <w:rPr>
          <w:szCs w:val="22"/>
        </w:rPr>
        <w:t>øringssvar</w:t>
      </w:r>
      <w:r w:rsidRPr="000D4513">
        <w:rPr>
          <w:szCs w:val="22"/>
        </w:rPr>
        <w:t xml:space="preserve">, som </w:t>
      </w:r>
      <w:r w:rsidR="00276511" w:rsidRPr="000D4513">
        <w:rPr>
          <w:szCs w:val="22"/>
        </w:rPr>
        <w:t xml:space="preserve">i deres helhed </w:t>
      </w:r>
      <w:r w:rsidRPr="000D4513">
        <w:rPr>
          <w:szCs w:val="22"/>
        </w:rPr>
        <w:t>er vedlagt i særskilte bilag 3 og [4</w:t>
      </w:r>
      <w:r w:rsidR="009B3324" w:rsidRPr="000D4513">
        <w:rPr>
          <w:szCs w:val="22"/>
        </w:rPr>
        <w:t xml:space="preserve"> </w:t>
      </w:r>
      <w:r w:rsidR="009B3324" w:rsidRPr="000D4513">
        <w:rPr>
          <w:i/>
          <w:szCs w:val="22"/>
        </w:rPr>
        <w:t>afventer 2. eksterne høring</w:t>
      </w:r>
      <w:r w:rsidRPr="000D4513">
        <w:rPr>
          <w:szCs w:val="22"/>
        </w:rPr>
        <w:t xml:space="preserve">]. </w:t>
      </w:r>
    </w:p>
    <w:p w14:paraId="5B318487" w14:textId="77777777" w:rsidR="00A120A1" w:rsidRPr="000D4513" w:rsidRDefault="00A120A1" w:rsidP="007061AD">
      <w:pPr>
        <w:rPr>
          <w:szCs w:val="22"/>
        </w:rPr>
      </w:pPr>
    </w:p>
    <w:p w14:paraId="15B605E3" w14:textId="1BC78593" w:rsidR="00547AF5" w:rsidRPr="000D4513" w:rsidRDefault="00397BF9" w:rsidP="007061AD">
      <w:pPr>
        <w:rPr>
          <w:szCs w:val="22"/>
        </w:rPr>
      </w:pPr>
      <w:r w:rsidRPr="000D4513">
        <w:rPr>
          <w:szCs w:val="22"/>
        </w:rPr>
        <w:t xml:space="preserve">I vedlagte særskilte bilag 5 findes </w:t>
      </w:r>
      <w:r w:rsidR="00A120A1" w:rsidRPr="000D4513">
        <w:rPr>
          <w:szCs w:val="22"/>
        </w:rPr>
        <w:t>endelig</w:t>
      </w:r>
      <w:r w:rsidR="00276511" w:rsidRPr="000D4513">
        <w:rPr>
          <w:szCs w:val="22"/>
        </w:rPr>
        <w:t xml:space="preserve"> </w:t>
      </w:r>
      <w:r w:rsidR="00AF707A" w:rsidRPr="000D4513">
        <w:rPr>
          <w:szCs w:val="22"/>
        </w:rPr>
        <w:t>en oversigt over hørte organisationer og</w:t>
      </w:r>
      <w:r w:rsidRPr="000D4513">
        <w:rPr>
          <w:szCs w:val="22"/>
        </w:rPr>
        <w:t xml:space="preserve"> myndigheder</w:t>
      </w:r>
      <w:r w:rsidR="00A120A1" w:rsidRPr="000D4513">
        <w:rPr>
          <w:szCs w:val="22"/>
        </w:rPr>
        <w:t xml:space="preserve"> med angivelse af, om der er afgivet høringssvar med indholdsbemærk</w:t>
      </w:r>
      <w:r w:rsidR="006B2D7C" w:rsidRPr="000D4513">
        <w:rPr>
          <w:szCs w:val="22"/>
        </w:rPr>
        <w:t>n</w:t>
      </w:r>
      <w:r w:rsidR="00A120A1" w:rsidRPr="000D4513">
        <w:rPr>
          <w:szCs w:val="22"/>
        </w:rPr>
        <w:t>inger</w:t>
      </w:r>
      <w:r w:rsidR="008D392E" w:rsidRPr="000D4513">
        <w:rPr>
          <w:szCs w:val="22"/>
        </w:rPr>
        <w:t>.</w:t>
      </w:r>
    </w:p>
    <w:p w14:paraId="030C9CF3" w14:textId="77777777" w:rsidR="00670CD0" w:rsidRPr="000D4513" w:rsidRDefault="00670CD0" w:rsidP="007061AD">
      <w:pPr>
        <w:rPr>
          <w:szCs w:val="22"/>
        </w:rPr>
      </w:pPr>
    </w:p>
    <w:p w14:paraId="15EDD4B2" w14:textId="77777777" w:rsidR="00225A8E" w:rsidRPr="000D4513" w:rsidRDefault="002853BE" w:rsidP="007061AD">
      <w:pPr>
        <w:pStyle w:val="Overskrift1"/>
        <w:ind w:left="425" w:hanging="425"/>
        <w:rPr>
          <w:szCs w:val="22"/>
        </w:rPr>
      </w:pPr>
      <w:bookmarkStart w:id="15" w:name="_Ref52960969"/>
      <w:bookmarkStart w:id="16" w:name="_Toc54877179"/>
      <w:r w:rsidRPr="000D4513">
        <w:rPr>
          <w:szCs w:val="22"/>
        </w:rPr>
        <w:t>H</w:t>
      </w:r>
      <w:r w:rsidR="000F0F81" w:rsidRPr="000D4513">
        <w:rPr>
          <w:szCs w:val="22"/>
        </w:rPr>
        <w:t>øringsparternes</w:t>
      </w:r>
      <w:r w:rsidR="00CA6A6A" w:rsidRPr="000D4513">
        <w:rPr>
          <w:szCs w:val="22"/>
        </w:rPr>
        <w:t xml:space="preserve"> </w:t>
      </w:r>
      <w:r w:rsidRPr="000D4513">
        <w:rPr>
          <w:szCs w:val="22"/>
        </w:rPr>
        <w:t>overordnede</w:t>
      </w:r>
      <w:r w:rsidR="00225A8E" w:rsidRPr="000D4513">
        <w:rPr>
          <w:szCs w:val="22"/>
        </w:rPr>
        <w:t xml:space="preserve"> bemærkninger i </w:t>
      </w:r>
      <w:r w:rsidR="00CA6A6A" w:rsidRPr="000D4513">
        <w:rPr>
          <w:szCs w:val="22"/>
        </w:rPr>
        <w:t>1.</w:t>
      </w:r>
      <w:r w:rsidR="00225A8E" w:rsidRPr="000D4513">
        <w:rPr>
          <w:szCs w:val="22"/>
        </w:rPr>
        <w:t xml:space="preserve"> hø</w:t>
      </w:r>
      <w:r w:rsidR="00CA6A6A" w:rsidRPr="000D4513">
        <w:rPr>
          <w:szCs w:val="22"/>
        </w:rPr>
        <w:t>ring</w:t>
      </w:r>
      <w:bookmarkEnd w:id="15"/>
      <w:bookmarkEnd w:id="16"/>
    </w:p>
    <w:p w14:paraId="60056FE7" w14:textId="4DA5C691" w:rsidR="009967A9" w:rsidRPr="000D4513" w:rsidRDefault="002B7C7D" w:rsidP="009967A9">
      <w:pPr>
        <w:rPr>
          <w:szCs w:val="22"/>
        </w:rPr>
      </w:pPr>
      <w:r w:rsidRPr="000D4513">
        <w:rPr>
          <w:rFonts w:eastAsia="Times New Roman" w:cs="Times New Roman"/>
          <w:color w:val="000000"/>
          <w:szCs w:val="22"/>
          <w:lang w:eastAsia="da-DK"/>
        </w:rPr>
        <w:t xml:space="preserve">Høringsparterne udtrykker </w:t>
      </w:r>
      <w:r w:rsidR="00CA6A6A" w:rsidRPr="000D4513">
        <w:rPr>
          <w:rFonts w:eastAsia="Times New Roman" w:cs="Times New Roman"/>
          <w:color w:val="000000"/>
          <w:szCs w:val="22"/>
          <w:lang w:eastAsia="da-DK"/>
        </w:rPr>
        <w:t xml:space="preserve">overordnet glæde over, at </w:t>
      </w:r>
      <w:r w:rsidR="00A62161" w:rsidRPr="000D4513">
        <w:rPr>
          <w:rFonts w:eastAsia="Times New Roman" w:cs="Times New Roman"/>
          <w:color w:val="000000"/>
          <w:szCs w:val="22"/>
          <w:lang w:eastAsia="da-DK"/>
        </w:rPr>
        <w:t xml:space="preserve">mere </w:t>
      </w:r>
      <w:r w:rsidR="00CA6A6A" w:rsidRPr="000D4513">
        <w:rPr>
          <w:rFonts w:eastAsia="Times New Roman" w:cs="Times New Roman"/>
          <w:color w:val="000000"/>
          <w:szCs w:val="22"/>
          <w:lang w:eastAsia="da-DK"/>
        </w:rPr>
        <w:t>en</w:t>
      </w:r>
      <w:r w:rsidR="00A62161" w:rsidRPr="000D4513">
        <w:rPr>
          <w:rFonts w:eastAsia="Times New Roman" w:cs="Times New Roman"/>
          <w:color w:val="000000"/>
          <w:szCs w:val="22"/>
          <w:lang w:eastAsia="da-DK"/>
        </w:rPr>
        <w:t>d</w:t>
      </w:r>
      <w:r w:rsidR="00CA6A6A" w:rsidRPr="000D4513">
        <w:rPr>
          <w:rFonts w:eastAsia="Times New Roman" w:cs="Times New Roman"/>
          <w:color w:val="000000"/>
          <w:szCs w:val="22"/>
          <w:lang w:eastAsia="da-DK"/>
        </w:rPr>
        <w:t xml:space="preserve"> </w:t>
      </w:r>
      <w:r w:rsidR="00A62161" w:rsidRPr="000D4513">
        <w:rPr>
          <w:rFonts w:eastAsia="Times New Roman" w:cs="Times New Roman"/>
          <w:color w:val="000000"/>
          <w:szCs w:val="22"/>
          <w:lang w:eastAsia="da-DK"/>
        </w:rPr>
        <w:t>ni ud af t</w:t>
      </w:r>
      <w:r w:rsidR="0047623C" w:rsidRPr="000D4513">
        <w:rPr>
          <w:rFonts w:eastAsia="Times New Roman" w:cs="Times New Roman"/>
          <w:color w:val="000000"/>
          <w:szCs w:val="22"/>
          <w:lang w:eastAsia="da-DK"/>
        </w:rPr>
        <w:t>i</w:t>
      </w:r>
      <w:r w:rsidR="00CA6A6A" w:rsidRPr="000D4513">
        <w:rPr>
          <w:rFonts w:eastAsia="Times New Roman" w:cs="Times New Roman"/>
          <w:color w:val="000000"/>
          <w:szCs w:val="22"/>
          <w:lang w:eastAsia="da-DK"/>
        </w:rPr>
        <w:t xml:space="preserve"> uddannelsesinstitutioner har en antimobbestrategi. </w:t>
      </w:r>
      <w:r w:rsidR="009967A9" w:rsidRPr="000D4513">
        <w:rPr>
          <w:szCs w:val="22"/>
        </w:rPr>
        <w:t xml:space="preserve">Der synes overvejende at være enighed om, at den indførte ordning med antimobbestrategier og handlingsplaner generelt har øget kendskabet til området og skabt en større fælles forståelse af </w:t>
      </w:r>
      <w:r w:rsidR="0047623C" w:rsidRPr="000D4513">
        <w:rPr>
          <w:szCs w:val="22"/>
        </w:rPr>
        <w:t>betydningen af indsatsen mod</w:t>
      </w:r>
      <w:r w:rsidR="009967A9" w:rsidRPr="000D4513">
        <w:rPr>
          <w:szCs w:val="22"/>
        </w:rPr>
        <w:t xml:space="preserve"> mobning. </w:t>
      </w:r>
    </w:p>
    <w:p w14:paraId="4BA2ED73" w14:textId="77777777" w:rsidR="009967A9" w:rsidRPr="000D4513" w:rsidRDefault="009967A9" w:rsidP="00BC3403">
      <w:pPr>
        <w:rPr>
          <w:rFonts w:eastAsia="Times New Roman" w:cs="Times New Roman"/>
          <w:color w:val="000000"/>
          <w:szCs w:val="22"/>
          <w:lang w:eastAsia="da-DK"/>
        </w:rPr>
      </w:pPr>
    </w:p>
    <w:p w14:paraId="447C2A45" w14:textId="47625C8A" w:rsidR="00BC3403" w:rsidRPr="000D4513" w:rsidRDefault="00BC3403" w:rsidP="00BC3403">
      <w:pPr>
        <w:rPr>
          <w:rFonts w:eastAsia="Times New Roman" w:cs="Times New Roman"/>
          <w:color w:val="000000"/>
          <w:szCs w:val="22"/>
          <w:lang w:eastAsia="da-DK"/>
        </w:rPr>
      </w:pPr>
      <w:r w:rsidRPr="000D4513">
        <w:rPr>
          <w:rFonts w:eastAsia="Times New Roman" w:cs="Times New Roman"/>
          <w:color w:val="000000"/>
          <w:szCs w:val="22"/>
          <w:lang w:eastAsia="da-DK"/>
        </w:rPr>
        <w:t>Der peges også på, at kendskabet til de centrale elementer af loven synes lavt blandt de relevante aktører. Således anser mange det som utilfredsstillende, når Epinions evaluering viser, at et relativt højt antal institutioner ikke har den tilstrækkelige viden om mobning, eksempelvis at hver fjerde uddannelsesinstitution ikke har kendskab til forebygge</w:t>
      </w:r>
      <w:r w:rsidR="00C06B07">
        <w:rPr>
          <w:rFonts w:eastAsia="Times New Roman" w:cs="Times New Roman"/>
          <w:color w:val="000000"/>
          <w:szCs w:val="22"/>
          <w:lang w:eastAsia="da-DK"/>
        </w:rPr>
        <w:t>lse af</w:t>
      </w:r>
      <w:r w:rsidRPr="000D4513">
        <w:rPr>
          <w:rFonts w:eastAsia="Times New Roman" w:cs="Times New Roman"/>
          <w:color w:val="000000"/>
          <w:szCs w:val="22"/>
          <w:lang w:eastAsia="da-DK"/>
        </w:rPr>
        <w:t xml:space="preserve"> mobning, og hver femte uddannelsesinstitution ikke ved, hvordan de kan bringe mobningen til ophør. Af samme grund betragtes det som bemærkelsesværdigt, når Epinions evaluering viser, at størstedelen af de forældre, der anvender klagemulighederne, ikke har været ordentligt vejledt af uddannelsesinstitutionerne.</w:t>
      </w:r>
    </w:p>
    <w:p w14:paraId="6A6E7C92" w14:textId="77777777" w:rsidR="009B70F0" w:rsidRPr="000D4513" w:rsidRDefault="009B70F0" w:rsidP="007061AD">
      <w:pPr>
        <w:rPr>
          <w:rFonts w:eastAsia="Times New Roman" w:cs="Times New Roman"/>
          <w:color w:val="000000"/>
          <w:szCs w:val="22"/>
          <w:lang w:eastAsia="da-DK"/>
        </w:rPr>
      </w:pPr>
    </w:p>
    <w:p w14:paraId="2BADCF46" w14:textId="77777777" w:rsidR="00BC3403" w:rsidRPr="000D4513" w:rsidRDefault="00BC3403" w:rsidP="007061AD">
      <w:pPr>
        <w:rPr>
          <w:rFonts w:eastAsia="Times New Roman" w:cs="Times New Roman"/>
          <w:color w:val="000000"/>
          <w:szCs w:val="22"/>
          <w:lang w:eastAsia="da-DK"/>
        </w:rPr>
      </w:pPr>
      <w:r w:rsidRPr="000D4513">
        <w:rPr>
          <w:rFonts w:eastAsia="Times New Roman" w:cs="Times New Roman"/>
          <w:color w:val="000000"/>
          <w:szCs w:val="22"/>
          <w:lang w:eastAsia="da-DK"/>
        </w:rPr>
        <w:t xml:space="preserve">Høringssvarene bærer </w:t>
      </w:r>
      <w:r w:rsidR="00C777DF" w:rsidRPr="000D4513">
        <w:rPr>
          <w:rFonts w:eastAsia="Times New Roman" w:cs="Times New Roman"/>
          <w:color w:val="000000"/>
          <w:szCs w:val="22"/>
          <w:lang w:eastAsia="da-DK"/>
        </w:rPr>
        <w:t xml:space="preserve">samtidig </w:t>
      </w:r>
      <w:r w:rsidRPr="000D4513">
        <w:rPr>
          <w:rFonts w:eastAsia="Times New Roman" w:cs="Times New Roman"/>
          <w:color w:val="000000"/>
          <w:szCs w:val="22"/>
          <w:lang w:eastAsia="da-DK"/>
        </w:rPr>
        <w:t>præg af forståelse for, at en ny ordning vil have en indkøringsfase, hvor der opstår tvivl og uklarheder.</w:t>
      </w:r>
    </w:p>
    <w:p w14:paraId="45F568ED" w14:textId="77777777" w:rsidR="00BC3403" w:rsidRPr="000D4513" w:rsidRDefault="00BC3403" w:rsidP="007061AD">
      <w:pPr>
        <w:rPr>
          <w:rFonts w:eastAsia="Times New Roman" w:cs="Times New Roman"/>
          <w:color w:val="000000"/>
          <w:szCs w:val="22"/>
          <w:lang w:eastAsia="da-DK"/>
        </w:rPr>
      </w:pPr>
    </w:p>
    <w:p w14:paraId="72C72449" w14:textId="17722A65" w:rsidR="005C1385" w:rsidRPr="000D4513" w:rsidRDefault="00A62161" w:rsidP="009F3CE1">
      <w:pPr>
        <w:rPr>
          <w:rFonts w:eastAsia="Times New Roman" w:cs="Times New Roman"/>
          <w:color w:val="000000"/>
          <w:szCs w:val="22"/>
          <w:lang w:eastAsia="da-DK"/>
        </w:rPr>
      </w:pPr>
      <w:r w:rsidRPr="000D4513">
        <w:rPr>
          <w:rFonts w:eastAsia="Times New Roman" w:cs="Times New Roman"/>
          <w:color w:val="000000"/>
          <w:szCs w:val="22"/>
          <w:lang w:eastAsia="da-DK"/>
        </w:rPr>
        <w:t>Prioritering af børns og unges trivsel i et sundt og inkluderende læringsmiljø fri for mobning fremhæves som et centralt mål for alle uddannelsessteder.</w:t>
      </w:r>
      <w:r w:rsidR="00C777DF" w:rsidRPr="000D4513">
        <w:rPr>
          <w:rFonts w:eastAsia="Times New Roman" w:cs="Times New Roman"/>
          <w:color w:val="000000"/>
          <w:szCs w:val="22"/>
          <w:lang w:eastAsia="da-DK"/>
        </w:rPr>
        <w:t xml:space="preserve"> </w:t>
      </w:r>
      <w:r w:rsidR="009B70F0" w:rsidRPr="000D4513">
        <w:rPr>
          <w:rFonts w:eastAsia="Times New Roman" w:cs="Times New Roman"/>
          <w:color w:val="000000"/>
          <w:szCs w:val="22"/>
          <w:lang w:eastAsia="da-DK"/>
        </w:rPr>
        <w:t xml:space="preserve">Der giver </w:t>
      </w:r>
      <w:r w:rsidR="002B7C7D" w:rsidRPr="000D4513">
        <w:rPr>
          <w:rFonts w:eastAsia="Times New Roman" w:cs="Times New Roman"/>
          <w:color w:val="000000"/>
          <w:szCs w:val="22"/>
          <w:lang w:eastAsia="da-DK"/>
        </w:rPr>
        <w:t>bl.a.</w:t>
      </w:r>
      <w:r w:rsidR="009B70F0" w:rsidRPr="000D4513">
        <w:rPr>
          <w:rFonts w:eastAsia="Times New Roman" w:cs="Times New Roman"/>
          <w:color w:val="000000"/>
          <w:szCs w:val="22"/>
          <w:lang w:eastAsia="da-DK"/>
        </w:rPr>
        <w:t xml:space="preserve"> udtryk for, at børn har ret til ikke at blive udsat for mobning, og at </w:t>
      </w:r>
      <w:r w:rsidR="002B7C7D" w:rsidRPr="000D4513">
        <w:rPr>
          <w:rFonts w:eastAsia="Times New Roman" w:cs="Times New Roman"/>
          <w:color w:val="000000"/>
          <w:szCs w:val="22"/>
          <w:lang w:eastAsia="da-DK"/>
        </w:rPr>
        <w:t>de</w:t>
      </w:r>
      <w:r w:rsidR="009B70F0" w:rsidRPr="000D4513">
        <w:rPr>
          <w:rFonts w:eastAsia="Times New Roman" w:cs="Times New Roman"/>
          <w:color w:val="000000"/>
          <w:szCs w:val="22"/>
          <w:lang w:eastAsia="da-DK"/>
        </w:rPr>
        <w:t xml:space="preserve"> indsats</w:t>
      </w:r>
      <w:r w:rsidR="002B7C7D" w:rsidRPr="000D4513">
        <w:rPr>
          <w:rFonts w:eastAsia="Times New Roman" w:cs="Times New Roman"/>
          <w:color w:val="000000"/>
          <w:szCs w:val="22"/>
          <w:lang w:eastAsia="da-DK"/>
        </w:rPr>
        <w:t>er</w:t>
      </w:r>
      <w:r w:rsidR="009B70F0" w:rsidRPr="000D4513">
        <w:rPr>
          <w:rFonts w:eastAsia="Times New Roman" w:cs="Times New Roman"/>
          <w:color w:val="000000"/>
          <w:szCs w:val="22"/>
          <w:lang w:eastAsia="da-DK"/>
        </w:rPr>
        <w:t>, der iværksættes ifm. mobning, såvel retlige som andre indsatser, skal tilrettelæg</w:t>
      </w:r>
      <w:r w:rsidR="00F13EC7" w:rsidRPr="000D4513">
        <w:rPr>
          <w:rFonts w:eastAsia="Times New Roman" w:cs="Times New Roman"/>
          <w:color w:val="000000"/>
          <w:szCs w:val="22"/>
          <w:lang w:eastAsia="da-DK"/>
        </w:rPr>
        <w:t>ges med dette so</w:t>
      </w:r>
      <w:r w:rsidR="002B7C7D" w:rsidRPr="000D4513">
        <w:rPr>
          <w:rFonts w:eastAsia="Times New Roman" w:cs="Times New Roman"/>
          <w:color w:val="000000"/>
          <w:szCs w:val="22"/>
          <w:lang w:eastAsia="da-DK"/>
        </w:rPr>
        <w:t>m udgangspunkt</w:t>
      </w:r>
      <w:r w:rsidR="005C1385" w:rsidRPr="000D4513">
        <w:rPr>
          <w:rFonts w:eastAsia="Times New Roman" w:cs="Times New Roman"/>
          <w:color w:val="000000"/>
          <w:szCs w:val="22"/>
          <w:lang w:eastAsia="da-DK"/>
        </w:rPr>
        <w:t>.</w:t>
      </w:r>
    </w:p>
    <w:p w14:paraId="5CC7FCB4" w14:textId="77777777" w:rsidR="005C1385" w:rsidRPr="000D4513" w:rsidRDefault="005C1385" w:rsidP="009F3CE1">
      <w:pPr>
        <w:rPr>
          <w:rFonts w:eastAsia="Times New Roman" w:cs="Times New Roman"/>
          <w:color w:val="000000"/>
          <w:szCs w:val="22"/>
          <w:lang w:eastAsia="da-DK"/>
        </w:rPr>
      </w:pPr>
    </w:p>
    <w:p w14:paraId="7F366CB7" w14:textId="77777777" w:rsidR="009F3CE1" w:rsidRPr="000D4513" w:rsidRDefault="009F3CE1" w:rsidP="009F3CE1">
      <w:pPr>
        <w:rPr>
          <w:rFonts w:eastAsia="Times New Roman" w:cs="Times New Roman"/>
          <w:color w:val="000000"/>
          <w:szCs w:val="22"/>
          <w:lang w:eastAsia="da-DK"/>
        </w:rPr>
      </w:pPr>
      <w:r w:rsidRPr="000D4513">
        <w:rPr>
          <w:rFonts w:eastAsia="Times New Roman" w:cs="Times New Roman"/>
          <w:color w:val="000000"/>
          <w:szCs w:val="22"/>
          <w:lang w:eastAsia="da-DK"/>
        </w:rPr>
        <w:t xml:space="preserve">Et samstemmende træk i høringssvarene er, at mobning ikke kun har konsekvenser for den enkelte elev, men </w:t>
      </w:r>
      <w:r w:rsidR="00BC3403" w:rsidRPr="000D4513">
        <w:rPr>
          <w:rFonts w:eastAsia="Times New Roman" w:cs="Times New Roman"/>
          <w:color w:val="000000"/>
          <w:szCs w:val="22"/>
          <w:lang w:eastAsia="da-DK"/>
        </w:rPr>
        <w:t xml:space="preserve">rækker </w:t>
      </w:r>
      <w:r w:rsidRPr="000D4513">
        <w:rPr>
          <w:rFonts w:eastAsia="Times New Roman" w:cs="Times New Roman"/>
          <w:color w:val="000000"/>
          <w:szCs w:val="22"/>
          <w:lang w:eastAsia="da-DK"/>
        </w:rPr>
        <w:t xml:space="preserve">ud over den enkelte elev og den enkelte klasse eller hold og dermed er en sag for fællesskabet. Det er således et gennemgående synspunkt, at regler, procedurer og indsatser i højere grad bør tage udgangspunkt i </w:t>
      </w:r>
      <w:r w:rsidRPr="000D4513">
        <w:rPr>
          <w:szCs w:val="22"/>
        </w:rPr>
        <w:t>elevens perspektiv</w:t>
      </w:r>
      <w:r w:rsidR="00BC3403" w:rsidRPr="000D4513">
        <w:rPr>
          <w:szCs w:val="22"/>
        </w:rPr>
        <w:t xml:space="preserve"> og</w:t>
      </w:r>
      <w:r w:rsidRPr="000D4513">
        <w:rPr>
          <w:szCs w:val="22"/>
        </w:rPr>
        <w:t xml:space="preserve"> oplevelse</w:t>
      </w:r>
      <w:r w:rsidR="00BC3403" w:rsidRPr="000D4513">
        <w:rPr>
          <w:szCs w:val="22"/>
        </w:rPr>
        <w:t xml:space="preserve">, i </w:t>
      </w:r>
      <w:r w:rsidRPr="000D4513">
        <w:rPr>
          <w:szCs w:val="22"/>
        </w:rPr>
        <w:t xml:space="preserve">dennes bedste samt i det forhold, at mobning påvirker </w:t>
      </w:r>
      <w:r w:rsidR="00BC3403" w:rsidRPr="000D4513">
        <w:rPr>
          <w:szCs w:val="22"/>
        </w:rPr>
        <w:t>bredt. Regler om og h</w:t>
      </w:r>
      <w:r w:rsidRPr="000D4513">
        <w:rPr>
          <w:szCs w:val="22"/>
        </w:rPr>
        <w:t xml:space="preserve">åndtering af mobning og </w:t>
      </w:r>
      <w:r w:rsidRPr="000D4513">
        <w:rPr>
          <w:szCs w:val="22"/>
        </w:rPr>
        <w:lastRenderedPageBreak/>
        <w:t xml:space="preserve">klage </w:t>
      </w:r>
      <w:r w:rsidR="00BC3403" w:rsidRPr="000D4513">
        <w:rPr>
          <w:szCs w:val="22"/>
        </w:rPr>
        <w:t xml:space="preserve">bør derfor </w:t>
      </w:r>
      <w:r w:rsidR="00BC3403" w:rsidRPr="000D4513">
        <w:rPr>
          <w:rFonts w:eastAsia="Times New Roman" w:cs="Times New Roman"/>
          <w:color w:val="000000"/>
          <w:szCs w:val="22"/>
          <w:lang w:eastAsia="da-DK"/>
        </w:rPr>
        <w:t>anskues ud fra et fællesskabsorienteret mobbesyn, hvor der tillige</w:t>
      </w:r>
      <w:r w:rsidRPr="000D4513">
        <w:rPr>
          <w:rFonts w:eastAsia="Times New Roman" w:cs="Times New Roman"/>
          <w:color w:val="000000"/>
          <w:szCs w:val="22"/>
          <w:lang w:eastAsia="da-DK"/>
        </w:rPr>
        <w:t xml:space="preserve"> fokuseres på at inddrage den enkelte elev, som oplever mobning, i de indsatser, som iværksættes</w:t>
      </w:r>
      <w:r w:rsidRPr="000D4513">
        <w:rPr>
          <w:szCs w:val="22"/>
        </w:rPr>
        <w:t>.</w:t>
      </w:r>
    </w:p>
    <w:p w14:paraId="65F594D3" w14:textId="77777777" w:rsidR="00A62161" w:rsidRPr="000D4513" w:rsidRDefault="00A62161" w:rsidP="007061AD">
      <w:pPr>
        <w:rPr>
          <w:szCs w:val="22"/>
        </w:rPr>
      </w:pPr>
    </w:p>
    <w:p w14:paraId="195B55AC" w14:textId="77777777" w:rsidR="00A62161" w:rsidRPr="000D4513" w:rsidRDefault="000456D2" w:rsidP="007061AD">
      <w:pPr>
        <w:rPr>
          <w:szCs w:val="22"/>
        </w:rPr>
      </w:pPr>
      <w:r w:rsidRPr="000D4513">
        <w:rPr>
          <w:szCs w:val="22"/>
        </w:rPr>
        <w:t xml:space="preserve">Med en enkelt undtagelse </w:t>
      </w:r>
      <w:r w:rsidR="00A62161" w:rsidRPr="000D4513">
        <w:rPr>
          <w:szCs w:val="22"/>
        </w:rPr>
        <w:t xml:space="preserve">er </w:t>
      </w:r>
      <w:r w:rsidRPr="000D4513">
        <w:rPr>
          <w:szCs w:val="22"/>
        </w:rPr>
        <w:t>d</w:t>
      </w:r>
      <w:r w:rsidR="00A62161" w:rsidRPr="000D4513">
        <w:rPr>
          <w:szCs w:val="22"/>
        </w:rPr>
        <w:t>er ingen høringsparter, som tilkendegiver, at klageor</w:t>
      </w:r>
      <w:r w:rsidR="00760830" w:rsidRPr="000D4513">
        <w:rPr>
          <w:szCs w:val="22"/>
        </w:rPr>
        <w:t xml:space="preserve">dningen og klageinstansen bør </w:t>
      </w:r>
      <w:r w:rsidR="009967A9" w:rsidRPr="000D4513">
        <w:rPr>
          <w:szCs w:val="22"/>
        </w:rPr>
        <w:t>afskaffes</w:t>
      </w:r>
      <w:r w:rsidR="00760830" w:rsidRPr="000D4513">
        <w:rPr>
          <w:szCs w:val="22"/>
        </w:rPr>
        <w:t xml:space="preserve"> igen. </w:t>
      </w:r>
      <w:r w:rsidR="009967A9" w:rsidRPr="000D4513">
        <w:rPr>
          <w:szCs w:val="22"/>
        </w:rPr>
        <w:t>En del høringsparter</w:t>
      </w:r>
      <w:r w:rsidR="00760830" w:rsidRPr="000D4513">
        <w:rPr>
          <w:szCs w:val="22"/>
        </w:rPr>
        <w:t xml:space="preserve"> giver udtrykkeligt udtryk for, at klageordningen og klageinstansen bør videreføres.</w:t>
      </w:r>
    </w:p>
    <w:p w14:paraId="5FF253FD" w14:textId="77777777" w:rsidR="00313489" w:rsidRPr="000D4513" w:rsidRDefault="00313489" w:rsidP="007061AD">
      <w:pPr>
        <w:rPr>
          <w:szCs w:val="22"/>
        </w:rPr>
      </w:pPr>
    </w:p>
    <w:p w14:paraId="6E8D0D10" w14:textId="7D37A596" w:rsidR="00313489" w:rsidRPr="000D4513" w:rsidRDefault="00BB6378" w:rsidP="007061AD">
      <w:pPr>
        <w:rPr>
          <w:szCs w:val="22"/>
        </w:rPr>
      </w:pPr>
      <w:r w:rsidRPr="000D4513">
        <w:rPr>
          <w:szCs w:val="22"/>
        </w:rPr>
        <w:t>Høringen rummer</w:t>
      </w:r>
      <w:r w:rsidR="00313489" w:rsidRPr="000D4513">
        <w:rPr>
          <w:szCs w:val="22"/>
        </w:rPr>
        <w:t xml:space="preserve"> ikke mange bemærkninger om </w:t>
      </w:r>
      <w:r w:rsidR="009967A9" w:rsidRPr="000D4513">
        <w:rPr>
          <w:szCs w:val="22"/>
        </w:rPr>
        <w:t>DCUM</w:t>
      </w:r>
      <w:r w:rsidR="00C06B07">
        <w:rPr>
          <w:szCs w:val="22"/>
        </w:rPr>
        <w:t xml:space="preserve">s </w:t>
      </w:r>
      <w:r w:rsidR="00313489" w:rsidRPr="000D4513">
        <w:rPr>
          <w:szCs w:val="22"/>
        </w:rPr>
        <w:t>tilsyn</w:t>
      </w:r>
      <w:r w:rsidRPr="000D4513">
        <w:rPr>
          <w:szCs w:val="22"/>
        </w:rPr>
        <w:t>sordning</w:t>
      </w:r>
      <w:r w:rsidR="008870EE">
        <w:rPr>
          <w:szCs w:val="22"/>
        </w:rPr>
        <w:t xml:space="preserve">. </w:t>
      </w:r>
    </w:p>
    <w:p w14:paraId="4A3068FA" w14:textId="77777777" w:rsidR="002B46D9" w:rsidRPr="000D4513" w:rsidRDefault="002B46D9" w:rsidP="007061AD">
      <w:pPr>
        <w:rPr>
          <w:szCs w:val="22"/>
        </w:rPr>
      </w:pPr>
    </w:p>
    <w:p w14:paraId="343B1E31" w14:textId="0B579A81" w:rsidR="009967A9" w:rsidRPr="000D4513" w:rsidRDefault="009967A9" w:rsidP="009967A9">
      <w:pPr>
        <w:rPr>
          <w:rFonts w:eastAsia="Times New Roman" w:cs="Times New Roman"/>
          <w:color w:val="000000"/>
          <w:szCs w:val="22"/>
          <w:lang w:eastAsia="da-DK"/>
        </w:rPr>
      </w:pPr>
      <w:r w:rsidRPr="000D4513">
        <w:rPr>
          <w:rFonts w:eastAsia="Times New Roman" w:cs="Times New Roman"/>
          <w:color w:val="000000"/>
          <w:szCs w:val="22"/>
          <w:lang w:eastAsia="da-DK"/>
        </w:rPr>
        <w:t>H</w:t>
      </w:r>
      <w:r w:rsidR="00313489" w:rsidRPr="000D4513">
        <w:rPr>
          <w:rFonts w:eastAsia="Times New Roman" w:cs="Times New Roman"/>
          <w:color w:val="000000"/>
          <w:szCs w:val="22"/>
          <w:lang w:eastAsia="da-DK"/>
        </w:rPr>
        <w:t>øring</w:t>
      </w:r>
      <w:r w:rsidRPr="000D4513">
        <w:rPr>
          <w:rFonts w:eastAsia="Times New Roman" w:cs="Times New Roman"/>
          <w:color w:val="000000"/>
          <w:szCs w:val="22"/>
          <w:lang w:eastAsia="da-DK"/>
        </w:rPr>
        <w:t>ssvarene viser også</w:t>
      </w:r>
      <w:r w:rsidR="000F0F81" w:rsidRPr="000D4513">
        <w:rPr>
          <w:rFonts w:eastAsia="Times New Roman" w:cs="Times New Roman"/>
          <w:color w:val="000000"/>
          <w:szCs w:val="22"/>
          <w:lang w:eastAsia="da-DK"/>
        </w:rPr>
        <w:t xml:space="preserve">, at </w:t>
      </w:r>
      <w:r w:rsidR="00760830" w:rsidRPr="000D4513">
        <w:rPr>
          <w:rFonts w:eastAsia="Times New Roman" w:cs="Times New Roman"/>
          <w:color w:val="000000"/>
          <w:szCs w:val="22"/>
          <w:lang w:eastAsia="da-DK"/>
        </w:rPr>
        <w:t xml:space="preserve">bestemmelserne om og procedurerne i forbindelse med </w:t>
      </w:r>
      <w:r w:rsidRPr="000D4513">
        <w:rPr>
          <w:rFonts w:eastAsia="Times New Roman" w:cs="Times New Roman"/>
          <w:color w:val="000000"/>
          <w:szCs w:val="22"/>
          <w:lang w:eastAsia="da-DK"/>
        </w:rPr>
        <w:t xml:space="preserve">navnlig </w:t>
      </w:r>
      <w:r w:rsidR="00760830" w:rsidRPr="000D4513">
        <w:rPr>
          <w:rFonts w:eastAsia="Times New Roman" w:cs="Times New Roman"/>
          <w:color w:val="000000"/>
          <w:szCs w:val="22"/>
          <w:lang w:eastAsia="da-DK"/>
        </w:rPr>
        <w:t>antimobbestrategier</w:t>
      </w:r>
      <w:r w:rsidRPr="000D4513">
        <w:rPr>
          <w:rFonts w:eastAsia="Times New Roman" w:cs="Times New Roman"/>
          <w:color w:val="000000"/>
          <w:szCs w:val="22"/>
          <w:lang w:eastAsia="da-DK"/>
        </w:rPr>
        <w:t xml:space="preserve">, </w:t>
      </w:r>
      <w:r w:rsidR="00760830" w:rsidRPr="000D4513">
        <w:rPr>
          <w:rFonts w:eastAsia="Times New Roman" w:cs="Times New Roman"/>
          <w:color w:val="000000"/>
          <w:szCs w:val="22"/>
          <w:lang w:eastAsia="da-DK"/>
        </w:rPr>
        <w:t>handlingsplaner</w:t>
      </w:r>
      <w:r w:rsidRPr="000D4513">
        <w:rPr>
          <w:rFonts w:eastAsia="Times New Roman" w:cs="Times New Roman"/>
          <w:color w:val="000000"/>
          <w:szCs w:val="22"/>
          <w:lang w:eastAsia="da-DK"/>
        </w:rPr>
        <w:t xml:space="preserve"> og</w:t>
      </w:r>
      <w:r w:rsidR="00760830" w:rsidRPr="000D4513">
        <w:rPr>
          <w:rFonts w:eastAsia="Times New Roman" w:cs="Times New Roman"/>
          <w:color w:val="000000"/>
          <w:szCs w:val="22"/>
          <w:lang w:eastAsia="da-DK"/>
        </w:rPr>
        <w:t xml:space="preserve"> klage</w:t>
      </w:r>
      <w:r w:rsidRPr="000D4513">
        <w:rPr>
          <w:rFonts w:eastAsia="Times New Roman" w:cs="Times New Roman"/>
          <w:color w:val="000000"/>
          <w:szCs w:val="22"/>
          <w:lang w:eastAsia="da-DK"/>
        </w:rPr>
        <w:t>ordning</w:t>
      </w:r>
      <w:r w:rsidR="000F0F81" w:rsidRPr="000D4513">
        <w:rPr>
          <w:rFonts w:eastAsia="Times New Roman" w:cs="Times New Roman"/>
          <w:color w:val="000000"/>
          <w:szCs w:val="22"/>
          <w:lang w:eastAsia="da-DK"/>
        </w:rPr>
        <w:t xml:space="preserve"> kan</w:t>
      </w:r>
      <w:r w:rsidR="00760830" w:rsidRPr="000D4513">
        <w:rPr>
          <w:rFonts w:eastAsia="Times New Roman" w:cs="Times New Roman"/>
          <w:color w:val="000000"/>
          <w:szCs w:val="22"/>
          <w:lang w:eastAsia="da-DK"/>
        </w:rPr>
        <w:t xml:space="preserve"> og bør</w:t>
      </w:r>
      <w:r w:rsidR="000F0F81" w:rsidRPr="000D4513">
        <w:rPr>
          <w:rFonts w:eastAsia="Times New Roman" w:cs="Times New Roman"/>
          <w:color w:val="000000"/>
          <w:szCs w:val="22"/>
          <w:lang w:eastAsia="da-DK"/>
        </w:rPr>
        <w:t xml:space="preserve"> forbedre</w:t>
      </w:r>
      <w:r w:rsidR="002853BE" w:rsidRPr="000D4513">
        <w:rPr>
          <w:rFonts w:eastAsia="Times New Roman" w:cs="Times New Roman"/>
          <w:color w:val="000000"/>
          <w:szCs w:val="22"/>
          <w:lang w:eastAsia="da-DK"/>
        </w:rPr>
        <w:t>s</w:t>
      </w:r>
      <w:r w:rsidR="000F0F81" w:rsidRPr="000D4513">
        <w:rPr>
          <w:rFonts w:eastAsia="Times New Roman" w:cs="Times New Roman"/>
          <w:color w:val="000000"/>
          <w:szCs w:val="22"/>
          <w:lang w:eastAsia="da-DK"/>
        </w:rPr>
        <w:t xml:space="preserve"> og forfines.</w:t>
      </w:r>
      <w:r w:rsidR="00DE3B99" w:rsidRPr="000D4513">
        <w:rPr>
          <w:rFonts w:eastAsia="Times New Roman" w:cs="Times New Roman"/>
          <w:color w:val="000000"/>
          <w:szCs w:val="22"/>
          <w:lang w:eastAsia="da-DK"/>
        </w:rPr>
        <w:t xml:space="preserve"> F</w:t>
      </w:r>
      <w:r w:rsidRPr="000D4513">
        <w:rPr>
          <w:rFonts w:eastAsia="Times New Roman" w:cs="Times New Roman"/>
          <w:color w:val="000000"/>
          <w:szCs w:val="22"/>
          <w:lang w:eastAsia="da-DK"/>
        </w:rPr>
        <w:t xml:space="preserve">ra mange sider </w:t>
      </w:r>
      <w:r w:rsidR="00DE3B99" w:rsidRPr="000D4513">
        <w:rPr>
          <w:rFonts w:eastAsia="Times New Roman" w:cs="Times New Roman"/>
          <w:color w:val="000000"/>
          <w:szCs w:val="22"/>
          <w:lang w:eastAsia="da-DK"/>
        </w:rPr>
        <w:t xml:space="preserve">opfordres på den baggrund </w:t>
      </w:r>
      <w:r w:rsidRPr="000D4513">
        <w:rPr>
          <w:rFonts w:eastAsia="Times New Roman" w:cs="Times New Roman"/>
          <w:color w:val="000000"/>
          <w:szCs w:val="22"/>
          <w:lang w:eastAsia="da-DK"/>
        </w:rPr>
        <w:t xml:space="preserve">til, at </w:t>
      </w:r>
      <w:r w:rsidR="00DE3B99" w:rsidRPr="000D4513">
        <w:rPr>
          <w:rFonts w:eastAsia="Times New Roman" w:cs="Times New Roman"/>
          <w:color w:val="000000"/>
          <w:szCs w:val="22"/>
          <w:lang w:eastAsia="da-DK"/>
        </w:rPr>
        <w:t>ministeriet</w:t>
      </w:r>
      <w:r w:rsidRPr="000D4513">
        <w:rPr>
          <w:rFonts w:eastAsia="Times New Roman" w:cs="Times New Roman"/>
          <w:color w:val="000000"/>
          <w:szCs w:val="22"/>
          <w:lang w:eastAsia="da-DK"/>
        </w:rPr>
        <w:t xml:space="preserve"> igangsætte</w:t>
      </w:r>
      <w:r w:rsidR="00DE3B99" w:rsidRPr="000D4513">
        <w:rPr>
          <w:rFonts w:eastAsia="Times New Roman" w:cs="Times New Roman"/>
          <w:color w:val="000000"/>
          <w:szCs w:val="22"/>
          <w:lang w:eastAsia="da-DK"/>
        </w:rPr>
        <w:t>r</w:t>
      </w:r>
      <w:r w:rsidRPr="000D4513">
        <w:rPr>
          <w:rFonts w:eastAsia="Times New Roman" w:cs="Times New Roman"/>
          <w:color w:val="000000"/>
          <w:szCs w:val="22"/>
          <w:lang w:eastAsia="da-DK"/>
        </w:rPr>
        <w:t xml:space="preserve"> et arbejde med henblik på at revidere</w:t>
      </w:r>
      <w:r w:rsidR="002B46D9" w:rsidRPr="000D4513">
        <w:rPr>
          <w:rFonts w:eastAsia="Times New Roman" w:cs="Times New Roman"/>
          <w:color w:val="000000"/>
          <w:szCs w:val="22"/>
          <w:lang w:eastAsia="da-DK"/>
        </w:rPr>
        <w:t xml:space="preserve"> og</w:t>
      </w:r>
      <w:r w:rsidRPr="000D4513">
        <w:rPr>
          <w:rFonts w:eastAsia="Times New Roman" w:cs="Times New Roman"/>
          <w:color w:val="000000"/>
          <w:szCs w:val="22"/>
          <w:lang w:eastAsia="da-DK"/>
        </w:rPr>
        <w:t xml:space="preserve"> forbedre de nuværende ordninger. La</w:t>
      </w:r>
      <w:r w:rsidR="008870EE">
        <w:rPr>
          <w:rFonts w:eastAsia="Times New Roman" w:cs="Times New Roman"/>
          <w:color w:val="000000"/>
          <w:szCs w:val="22"/>
          <w:lang w:eastAsia="da-DK"/>
        </w:rPr>
        <w:t>n</w:t>
      </w:r>
      <w:r w:rsidRPr="000D4513">
        <w:rPr>
          <w:rFonts w:eastAsia="Times New Roman" w:cs="Times New Roman"/>
          <w:color w:val="000000"/>
          <w:szCs w:val="22"/>
          <w:lang w:eastAsia="da-DK"/>
        </w:rPr>
        <w:t>gt de fleste høringsparter stiller sig også til rådighed for en sådant arbejde.</w:t>
      </w:r>
    </w:p>
    <w:p w14:paraId="5B020F8C" w14:textId="77777777" w:rsidR="000C0702" w:rsidRPr="000D4513" w:rsidRDefault="000C0702" w:rsidP="00DE3B99">
      <w:pPr>
        <w:rPr>
          <w:rFonts w:eastAsia="Times New Roman" w:cs="Times New Roman"/>
          <w:color w:val="000000"/>
          <w:szCs w:val="22"/>
          <w:lang w:eastAsia="da-DK"/>
        </w:rPr>
      </w:pPr>
    </w:p>
    <w:p w14:paraId="791B4E37" w14:textId="184C6CE8" w:rsidR="0034396D" w:rsidRPr="000D4513" w:rsidRDefault="00DE3B99" w:rsidP="00DE3B99">
      <w:pPr>
        <w:rPr>
          <w:rFonts w:eastAsia="Times New Roman" w:cs="Times New Roman"/>
          <w:color w:val="000000"/>
          <w:szCs w:val="22"/>
          <w:lang w:eastAsia="da-DK"/>
        </w:rPr>
      </w:pPr>
      <w:r w:rsidRPr="000D4513">
        <w:rPr>
          <w:rFonts w:eastAsia="Times New Roman" w:cs="Times New Roman"/>
          <w:color w:val="000000"/>
          <w:szCs w:val="22"/>
          <w:lang w:eastAsia="da-DK"/>
        </w:rPr>
        <w:t>Høringssvarene giver indtryk af, at det eksisterende system udgør en særlig udfordring på u</w:t>
      </w:r>
      <w:r w:rsidR="0034396D" w:rsidRPr="000D4513">
        <w:rPr>
          <w:rFonts w:eastAsia="Times New Roman" w:cs="Times New Roman"/>
          <w:color w:val="000000"/>
          <w:szCs w:val="22"/>
          <w:lang w:eastAsia="da-DK"/>
        </w:rPr>
        <w:t>ngdomsuddannelserne</w:t>
      </w:r>
      <w:r w:rsidR="00C06B07">
        <w:rPr>
          <w:rFonts w:eastAsia="Times New Roman" w:cs="Times New Roman"/>
          <w:color w:val="000000"/>
          <w:szCs w:val="22"/>
          <w:lang w:eastAsia="da-DK"/>
        </w:rPr>
        <w:t>, idet der generelt peges på, at elever på disse uddannelser står mere alene end elever i grundskoler</w:t>
      </w:r>
      <w:r w:rsidRPr="000D4513">
        <w:rPr>
          <w:rFonts w:eastAsia="Times New Roman" w:cs="Times New Roman"/>
          <w:color w:val="000000"/>
          <w:szCs w:val="22"/>
          <w:lang w:eastAsia="da-DK"/>
        </w:rPr>
        <w:t>.</w:t>
      </w:r>
    </w:p>
    <w:p w14:paraId="27948473" w14:textId="77777777" w:rsidR="0034396D" w:rsidRPr="000D4513" w:rsidRDefault="0034396D" w:rsidP="00DE3B99">
      <w:pPr>
        <w:rPr>
          <w:rFonts w:eastAsia="Times New Roman" w:cs="Times New Roman"/>
          <w:color w:val="000000"/>
          <w:szCs w:val="22"/>
          <w:lang w:eastAsia="da-DK"/>
        </w:rPr>
      </w:pPr>
    </w:p>
    <w:p w14:paraId="07A9FBFC" w14:textId="5AD86865" w:rsidR="005F103D" w:rsidRPr="000D4513" w:rsidRDefault="00DE3B99" w:rsidP="007061AD">
      <w:pPr>
        <w:rPr>
          <w:rFonts w:eastAsia="Times New Roman" w:cs="Times New Roman"/>
          <w:color w:val="000000"/>
          <w:szCs w:val="22"/>
          <w:lang w:eastAsia="da-DK"/>
        </w:rPr>
      </w:pPr>
      <w:r w:rsidRPr="000D4513">
        <w:rPr>
          <w:rFonts w:eastAsia="Times New Roman" w:cs="Times New Roman"/>
          <w:color w:val="000000"/>
          <w:szCs w:val="22"/>
          <w:lang w:eastAsia="da-DK"/>
        </w:rPr>
        <w:t>En del høringsparter opfordrer til, at der søges i</w:t>
      </w:r>
      <w:r w:rsidR="005F103D" w:rsidRPr="000D4513">
        <w:rPr>
          <w:rFonts w:eastAsia="Times New Roman" w:cs="Times New Roman"/>
          <w:color w:val="000000"/>
          <w:szCs w:val="22"/>
          <w:lang w:eastAsia="da-DK"/>
        </w:rPr>
        <w:t xml:space="preserve">nspiration </w:t>
      </w:r>
      <w:r w:rsidRPr="000D4513">
        <w:rPr>
          <w:rFonts w:eastAsia="Times New Roman" w:cs="Times New Roman"/>
          <w:color w:val="000000"/>
          <w:szCs w:val="22"/>
          <w:lang w:eastAsia="da-DK"/>
        </w:rPr>
        <w:t>i de tilsvarende ordninger i de andre nordiske lande, navnlig</w:t>
      </w:r>
      <w:r w:rsidR="005F103D" w:rsidRPr="000D4513">
        <w:rPr>
          <w:rFonts w:eastAsia="Times New Roman" w:cs="Times New Roman"/>
          <w:color w:val="000000"/>
          <w:szCs w:val="22"/>
          <w:lang w:eastAsia="da-DK"/>
        </w:rPr>
        <w:t xml:space="preserve"> Norge</w:t>
      </w:r>
      <w:r w:rsidRPr="000D4513">
        <w:rPr>
          <w:rFonts w:eastAsia="Times New Roman" w:cs="Times New Roman"/>
          <w:color w:val="000000"/>
          <w:szCs w:val="22"/>
          <w:lang w:eastAsia="da-DK"/>
        </w:rPr>
        <w:t>. Det gælder bl.a. med hensyn til</w:t>
      </w:r>
      <w:r w:rsidR="005F103D" w:rsidRPr="000D4513">
        <w:rPr>
          <w:rFonts w:eastAsia="Times New Roman" w:cs="Times New Roman"/>
          <w:color w:val="000000"/>
          <w:szCs w:val="22"/>
          <w:lang w:eastAsia="da-DK"/>
        </w:rPr>
        <w:t xml:space="preserve"> </w:t>
      </w:r>
      <w:r w:rsidRPr="000D4513">
        <w:rPr>
          <w:rFonts w:eastAsia="Times New Roman" w:cs="Times New Roman"/>
          <w:color w:val="000000"/>
          <w:szCs w:val="22"/>
          <w:lang w:eastAsia="da-DK"/>
        </w:rPr>
        <w:t xml:space="preserve">inddragelse af </w:t>
      </w:r>
      <w:r w:rsidR="005F103D" w:rsidRPr="000D4513">
        <w:rPr>
          <w:rFonts w:eastAsia="Times New Roman" w:cs="Times New Roman"/>
          <w:color w:val="000000"/>
          <w:szCs w:val="22"/>
          <w:lang w:eastAsia="da-DK"/>
        </w:rPr>
        <w:t xml:space="preserve">eleverne </w:t>
      </w:r>
      <w:r w:rsidRPr="000D4513">
        <w:rPr>
          <w:rFonts w:eastAsia="Times New Roman" w:cs="Times New Roman"/>
          <w:color w:val="000000"/>
          <w:szCs w:val="22"/>
          <w:lang w:eastAsia="da-DK"/>
        </w:rPr>
        <w:t>i relation</w:t>
      </w:r>
      <w:r w:rsidR="005F103D" w:rsidRPr="000D4513">
        <w:rPr>
          <w:rFonts w:eastAsia="Times New Roman" w:cs="Times New Roman"/>
          <w:color w:val="000000"/>
          <w:szCs w:val="22"/>
          <w:lang w:eastAsia="da-DK"/>
        </w:rPr>
        <w:t xml:space="preserve"> til uddannelsesstedets handlepligt</w:t>
      </w:r>
      <w:r w:rsidRPr="000D4513">
        <w:rPr>
          <w:rFonts w:eastAsia="Times New Roman" w:cs="Times New Roman"/>
          <w:color w:val="000000"/>
          <w:szCs w:val="22"/>
          <w:lang w:eastAsia="da-DK"/>
        </w:rPr>
        <w:t xml:space="preserve">, fokus på elevperspektivet i </w:t>
      </w:r>
      <w:r w:rsidR="007061AD" w:rsidRPr="000D4513">
        <w:rPr>
          <w:rFonts w:eastAsia="Times New Roman" w:cs="Times New Roman"/>
          <w:color w:val="000000"/>
          <w:szCs w:val="22"/>
          <w:lang w:eastAsia="da-DK"/>
        </w:rPr>
        <w:t xml:space="preserve">antimobbestrategier, hvor </w:t>
      </w:r>
      <w:r w:rsidRPr="000D4513">
        <w:rPr>
          <w:rFonts w:eastAsia="Times New Roman" w:cs="Times New Roman"/>
          <w:color w:val="000000"/>
          <w:szCs w:val="22"/>
          <w:lang w:eastAsia="da-DK"/>
        </w:rPr>
        <w:t>det er eleven</w:t>
      </w:r>
      <w:r w:rsidR="007061AD" w:rsidRPr="000D4513">
        <w:rPr>
          <w:rFonts w:eastAsia="Times New Roman" w:cs="Times New Roman"/>
          <w:color w:val="000000"/>
          <w:szCs w:val="22"/>
          <w:lang w:eastAsia="da-DK"/>
        </w:rPr>
        <w:t>s subjektive oplevelse af mistrivsel, der aktiverer skolernes handlepligt</w:t>
      </w:r>
      <w:r w:rsidRPr="000D4513">
        <w:rPr>
          <w:rFonts w:eastAsia="Times New Roman" w:cs="Times New Roman"/>
          <w:color w:val="000000"/>
          <w:szCs w:val="22"/>
          <w:lang w:eastAsia="da-DK"/>
        </w:rPr>
        <w:t xml:space="preserve"> samt en model, hvor</w:t>
      </w:r>
      <w:r w:rsidR="007F0FE0" w:rsidRPr="000D4513">
        <w:rPr>
          <w:rFonts w:eastAsia="Times New Roman" w:cs="Times New Roman"/>
          <w:color w:val="000000"/>
          <w:szCs w:val="22"/>
          <w:lang w:eastAsia="da-DK"/>
        </w:rPr>
        <w:t xml:space="preserve"> elev eller forældre har ret til at aktivere handlepligterne, hvis eleven oplever mistrivsel i bred forstand.</w:t>
      </w:r>
    </w:p>
    <w:p w14:paraId="50FBD6C8" w14:textId="77777777" w:rsidR="00C96729" w:rsidRPr="000D4513" w:rsidRDefault="00C96729" w:rsidP="007061AD">
      <w:pPr>
        <w:rPr>
          <w:rFonts w:eastAsia="Times New Roman" w:cs="Times New Roman"/>
          <w:color w:val="000000"/>
          <w:szCs w:val="22"/>
          <w:lang w:eastAsia="da-DK"/>
        </w:rPr>
      </w:pPr>
    </w:p>
    <w:p w14:paraId="686B9D88" w14:textId="48ECBE11" w:rsidR="00B1754F" w:rsidRPr="000D4513" w:rsidRDefault="002B2726" w:rsidP="00B1754F">
      <w:pPr>
        <w:rPr>
          <w:rFonts w:eastAsia="Times New Roman" w:cs="Times New Roman"/>
          <w:color w:val="000000"/>
          <w:szCs w:val="22"/>
          <w:lang w:eastAsia="da-DK"/>
        </w:rPr>
      </w:pPr>
      <w:r w:rsidRPr="000D4513">
        <w:rPr>
          <w:rFonts w:eastAsia="Times New Roman" w:cs="Times New Roman"/>
          <w:color w:val="000000"/>
          <w:szCs w:val="22"/>
          <w:lang w:eastAsia="da-DK"/>
        </w:rPr>
        <w:t>Flere</w:t>
      </w:r>
      <w:r w:rsidR="00B1754F" w:rsidRPr="000D4513">
        <w:rPr>
          <w:rFonts w:eastAsia="Times New Roman" w:cs="Times New Roman"/>
          <w:color w:val="000000"/>
          <w:szCs w:val="22"/>
          <w:lang w:eastAsia="da-DK"/>
        </w:rPr>
        <w:t xml:space="preserve"> høringsparter ser behov for en generel oprustning i forhold til digital mobning og opfordrer til, at der tages initiativ til at undersøge digital og internetbaseret mobning både i sammenhæng med børn og unges digitale mediekultur generelt og i sammenhæng med kultur og trivsel i børn og unges fysiske fællesskaber i skolen m</w:t>
      </w:r>
      <w:r w:rsidR="00E20C9E">
        <w:rPr>
          <w:rFonts w:eastAsia="Times New Roman" w:cs="Times New Roman"/>
          <w:color w:val="000000"/>
          <w:szCs w:val="22"/>
          <w:lang w:eastAsia="da-DK"/>
        </w:rPr>
        <w:t>.</w:t>
      </w:r>
      <w:r w:rsidR="00B1754F" w:rsidRPr="000D4513">
        <w:rPr>
          <w:rFonts w:eastAsia="Times New Roman" w:cs="Times New Roman"/>
          <w:color w:val="000000"/>
          <w:szCs w:val="22"/>
          <w:lang w:eastAsia="da-DK"/>
        </w:rPr>
        <w:t xml:space="preserve">v. </w:t>
      </w:r>
    </w:p>
    <w:p w14:paraId="50F6EF69" w14:textId="77777777" w:rsidR="009779A4" w:rsidRPr="000D4513" w:rsidRDefault="009779A4" w:rsidP="009779A4">
      <w:pPr>
        <w:rPr>
          <w:rFonts w:eastAsia="Times New Roman" w:cs="Times New Roman"/>
          <w:color w:val="000000"/>
          <w:szCs w:val="22"/>
          <w:lang w:eastAsia="da-DK"/>
        </w:rPr>
      </w:pPr>
    </w:p>
    <w:p w14:paraId="2C4B8229" w14:textId="0AF717F0" w:rsidR="009779A4" w:rsidRPr="009779A4" w:rsidRDefault="009779A4" w:rsidP="009779A4">
      <w:pPr>
        <w:pStyle w:val="Overskrift2"/>
        <w:ind w:left="426" w:hanging="455"/>
        <w:rPr>
          <w:szCs w:val="22"/>
        </w:rPr>
      </w:pPr>
      <w:bookmarkStart w:id="17" w:name="_Toc54877180"/>
      <w:r w:rsidRPr="009779A4">
        <w:rPr>
          <w:szCs w:val="22"/>
        </w:rPr>
        <w:t>Bemærkninger vedr. undersøgelsesmetoder i Epinions evaluering</w:t>
      </w:r>
      <w:bookmarkEnd w:id="17"/>
    </w:p>
    <w:p w14:paraId="67CD31C3" w14:textId="60D7B847" w:rsidR="009779A4" w:rsidRPr="000D4513" w:rsidRDefault="009779A4" w:rsidP="009779A4">
      <w:pPr>
        <w:rPr>
          <w:rFonts w:eastAsia="Times New Roman" w:cs="Times New Roman"/>
          <w:color w:val="000000"/>
          <w:szCs w:val="22"/>
          <w:lang w:eastAsia="da-DK"/>
        </w:rPr>
      </w:pPr>
      <w:r w:rsidRPr="000D4513">
        <w:rPr>
          <w:rFonts w:eastAsia="Times New Roman" w:cs="Times New Roman"/>
          <w:color w:val="000000"/>
          <w:szCs w:val="22"/>
          <w:lang w:eastAsia="da-DK"/>
        </w:rPr>
        <w:t>I høringssvarene fremkommer endelig en række synspunkter om undersøgelsesdesign</w:t>
      </w:r>
      <w:r>
        <w:rPr>
          <w:rFonts w:eastAsia="Times New Roman" w:cs="Times New Roman"/>
          <w:color w:val="000000"/>
          <w:szCs w:val="22"/>
          <w:lang w:eastAsia="da-DK"/>
        </w:rPr>
        <w:t>- og metoder</w:t>
      </w:r>
      <w:r w:rsidRPr="000D4513">
        <w:rPr>
          <w:rFonts w:eastAsia="Times New Roman" w:cs="Times New Roman"/>
          <w:color w:val="000000"/>
          <w:szCs w:val="22"/>
          <w:lang w:eastAsia="da-DK"/>
        </w:rPr>
        <w:t xml:space="preserve"> i Epinions evaluering. Disse skitseres kort nedenfor</w:t>
      </w:r>
      <w:r>
        <w:rPr>
          <w:rFonts w:eastAsia="Times New Roman" w:cs="Times New Roman"/>
          <w:color w:val="000000"/>
          <w:szCs w:val="22"/>
          <w:lang w:eastAsia="da-DK"/>
        </w:rPr>
        <w:t xml:space="preserve"> direkte efterfulgt af Epinions replik.</w:t>
      </w:r>
    </w:p>
    <w:p w14:paraId="0387534F" w14:textId="77777777" w:rsidR="00B1754F" w:rsidRPr="000D4513" w:rsidRDefault="00B1754F" w:rsidP="00B1754F">
      <w:pPr>
        <w:rPr>
          <w:rFonts w:eastAsia="Times New Roman" w:cs="Times New Roman"/>
          <w:color w:val="000000"/>
          <w:szCs w:val="22"/>
          <w:lang w:eastAsia="da-DK"/>
        </w:rPr>
      </w:pPr>
    </w:p>
    <w:p w14:paraId="7993BC90" w14:textId="77777777" w:rsidR="00B1754F" w:rsidRPr="000D4513" w:rsidRDefault="002B2726" w:rsidP="00B1754F">
      <w:pPr>
        <w:rPr>
          <w:rFonts w:eastAsia="Times New Roman" w:cs="Times New Roman"/>
          <w:color w:val="000000"/>
          <w:szCs w:val="22"/>
          <w:lang w:eastAsia="da-DK"/>
        </w:rPr>
      </w:pPr>
      <w:r w:rsidRPr="000D4513">
        <w:rPr>
          <w:rFonts w:eastAsia="Times New Roman" w:cs="Times New Roman"/>
          <w:color w:val="000000"/>
          <w:szCs w:val="22"/>
          <w:lang w:eastAsia="da-DK"/>
        </w:rPr>
        <w:t>Flere</w:t>
      </w:r>
      <w:r w:rsidR="00B1754F" w:rsidRPr="000D4513">
        <w:rPr>
          <w:rFonts w:eastAsia="Times New Roman" w:cs="Times New Roman"/>
          <w:color w:val="000000"/>
          <w:szCs w:val="22"/>
          <w:lang w:eastAsia="da-DK"/>
        </w:rPr>
        <w:t xml:space="preserve"> </w:t>
      </w:r>
      <w:r w:rsidRPr="000D4513">
        <w:rPr>
          <w:rFonts w:eastAsia="Times New Roman" w:cs="Times New Roman"/>
          <w:color w:val="000000"/>
          <w:szCs w:val="22"/>
          <w:lang w:eastAsia="da-DK"/>
        </w:rPr>
        <w:t xml:space="preserve">høringsparter </w:t>
      </w:r>
      <w:r w:rsidR="00B1754F" w:rsidRPr="000D4513">
        <w:rPr>
          <w:rFonts w:eastAsia="Times New Roman" w:cs="Times New Roman"/>
          <w:color w:val="000000"/>
          <w:szCs w:val="22"/>
          <w:lang w:eastAsia="da-DK"/>
        </w:rPr>
        <w:t xml:space="preserve">finder, at </w:t>
      </w:r>
      <w:r w:rsidRPr="000D4513">
        <w:rPr>
          <w:rFonts w:eastAsia="Times New Roman" w:cs="Times New Roman"/>
          <w:color w:val="000000"/>
          <w:szCs w:val="22"/>
          <w:lang w:eastAsia="da-DK"/>
        </w:rPr>
        <w:t xml:space="preserve">undersøgelsesområdet for Epinions </w:t>
      </w:r>
      <w:r w:rsidR="00B1754F" w:rsidRPr="000D4513">
        <w:rPr>
          <w:rFonts w:eastAsia="Times New Roman" w:cs="Times New Roman"/>
          <w:color w:val="000000"/>
          <w:szCs w:val="22"/>
          <w:lang w:eastAsia="da-DK"/>
        </w:rPr>
        <w:t>evaluering har den konsekvens, at omstændighederne vedrørende elevers mistrivsel bliver for unuanceret</w:t>
      </w:r>
      <w:r w:rsidRPr="000D4513">
        <w:rPr>
          <w:rFonts w:eastAsia="Times New Roman" w:cs="Times New Roman"/>
          <w:color w:val="000000"/>
          <w:szCs w:val="22"/>
          <w:lang w:eastAsia="da-DK"/>
        </w:rPr>
        <w:t>, fordi den</w:t>
      </w:r>
      <w:r w:rsidR="00B1754F" w:rsidRPr="000D4513">
        <w:rPr>
          <w:rFonts w:eastAsia="Times New Roman" w:cs="Times New Roman"/>
          <w:color w:val="000000"/>
          <w:szCs w:val="22"/>
          <w:lang w:eastAsia="da-DK"/>
        </w:rPr>
        <w:t xml:space="preserve"> ikke </w:t>
      </w:r>
      <w:r w:rsidRPr="000D4513">
        <w:rPr>
          <w:rFonts w:eastAsia="Times New Roman" w:cs="Times New Roman"/>
          <w:color w:val="000000"/>
          <w:szCs w:val="22"/>
          <w:lang w:eastAsia="da-DK"/>
        </w:rPr>
        <w:t>omfatter</w:t>
      </w:r>
      <w:r w:rsidR="00B1754F" w:rsidRPr="000D4513">
        <w:rPr>
          <w:rFonts w:eastAsia="Times New Roman" w:cs="Times New Roman"/>
          <w:color w:val="000000"/>
          <w:szCs w:val="22"/>
          <w:lang w:eastAsia="da-DK"/>
        </w:rPr>
        <w:t xml:space="preserve"> sager, hvor mistrivsel bunder i manglende sociale relationer i fritidslivet, mobning eller relationelle forhold i hjemmet. </w:t>
      </w:r>
    </w:p>
    <w:p w14:paraId="33B5C95D" w14:textId="77777777" w:rsidR="00B1754F" w:rsidRPr="000D4513" w:rsidRDefault="00B1754F" w:rsidP="007061AD">
      <w:pPr>
        <w:rPr>
          <w:rFonts w:eastAsia="Times New Roman" w:cs="Times New Roman"/>
          <w:color w:val="000000"/>
          <w:szCs w:val="22"/>
          <w:lang w:eastAsia="da-DK"/>
        </w:rPr>
      </w:pPr>
    </w:p>
    <w:p w14:paraId="5FFAC1BC" w14:textId="77777777" w:rsidR="0087387F" w:rsidRPr="000D4513" w:rsidRDefault="002B2726" w:rsidP="007061AD">
      <w:pPr>
        <w:rPr>
          <w:rFonts w:eastAsia="Times New Roman" w:cs="Times New Roman"/>
          <w:color w:val="000000"/>
          <w:szCs w:val="22"/>
          <w:lang w:eastAsia="da-DK"/>
        </w:rPr>
      </w:pPr>
      <w:r w:rsidRPr="000D4513">
        <w:rPr>
          <w:szCs w:val="22"/>
          <w:u w:val="single"/>
        </w:rPr>
        <w:t>BUPL</w:t>
      </w:r>
      <w:r w:rsidRPr="000D4513">
        <w:rPr>
          <w:szCs w:val="22"/>
        </w:rPr>
        <w:t xml:space="preserve">, </w:t>
      </w:r>
      <w:r w:rsidRPr="000D4513">
        <w:rPr>
          <w:szCs w:val="22"/>
          <w:u w:val="single"/>
        </w:rPr>
        <w:t>Børne- og Kulturchefforeningen</w:t>
      </w:r>
      <w:r w:rsidRPr="000D4513">
        <w:rPr>
          <w:szCs w:val="22"/>
        </w:rPr>
        <w:t xml:space="preserve">, </w:t>
      </w:r>
      <w:r w:rsidRPr="000D4513">
        <w:rPr>
          <w:szCs w:val="22"/>
          <w:u w:val="single"/>
        </w:rPr>
        <w:t>Danmarks Lærerforening</w:t>
      </w:r>
      <w:r w:rsidRPr="000D4513">
        <w:rPr>
          <w:szCs w:val="22"/>
        </w:rPr>
        <w:t xml:space="preserve">, </w:t>
      </w:r>
      <w:r w:rsidRPr="000D4513">
        <w:rPr>
          <w:szCs w:val="22"/>
          <w:u w:val="single"/>
        </w:rPr>
        <w:t>KL</w:t>
      </w:r>
      <w:r w:rsidRPr="000D4513">
        <w:rPr>
          <w:szCs w:val="22"/>
        </w:rPr>
        <w:t xml:space="preserve"> og </w:t>
      </w:r>
      <w:r w:rsidRPr="000D4513">
        <w:rPr>
          <w:szCs w:val="22"/>
          <w:u w:val="single"/>
        </w:rPr>
        <w:t>Skolelederforeningen</w:t>
      </w:r>
      <w:r w:rsidRPr="000D4513">
        <w:rPr>
          <w:szCs w:val="22"/>
        </w:rPr>
        <w:t xml:space="preserve"> finder, at der er en </w:t>
      </w:r>
      <w:r w:rsidR="0087387F" w:rsidRPr="000D4513">
        <w:rPr>
          <w:rFonts w:eastAsia="Times New Roman" w:cs="Times New Roman"/>
          <w:color w:val="000000"/>
          <w:szCs w:val="22"/>
          <w:lang w:eastAsia="da-DK"/>
        </w:rPr>
        <w:t xml:space="preserve">uheldig slagside i de data, som den kvalitative del af </w:t>
      </w:r>
      <w:r w:rsidRPr="000D4513">
        <w:rPr>
          <w:rFonts w:eastAsia="Times New Roman" w:cs="Times New Roman"/>
          <w:color w:val="000000"/>
          <w:szCs w:val="22"/>
          <w:lang w:eastAsia="da-DK"/>
        </w:rPr>
        <w:t xml:space="preserve">Epinions evaluering </w:t>
      </w:r>
      <w:r w:rsidR="0087387F" w:rsidRPr="000D4513">
        <w:rPr>
          <w:rFonts w:eastAsia="Times New Roman" w:cs="Times New Roman"/>
          <w:color w:val="000000"/>
          <w:szCs w:val="22"/>
          <w:lang w:eastAsia="da-DK"/>
        </w:rPr>
        <w:t>behandler. Ved udelukkende at lave opfølgende interviews baseret på klagesager illustrerer undersøgelsen ikke de tilfælde af mobning eller lignende, som er blevet håndteret i et frugtbart samarbejde mellem, børn, forældre og skolen.</w:t>
      </w:r>
    </w:p>
    <w:p w14:paraId="31E7380B" w14:textId="5BF7D534" w:rsidR="0087387F" w:rsidRDefault="0087387F" w:rsidP="007061AD">
      <w:pPr>
        <w:rPr>
          <w:rFonts w:eastAsia="Times New Roman" w:cs="Times New Roman"/>
          <w:color w:val="000000"/>
          <w:szCs w:val="22"/>
          <w:lang w:eastAsia="da-DK"/>
        </w:rPr>
      </w:pPr>
    </w:p>
    <w:p w14:paraId="4DBB1218" w14:textId="2AF1D9BB" w:rsidR="009779A4" w:rsidRPr="009779A4" w:rsidRDefault="009779A4" w:rsidP="007061AD">
      <w:pPr>
        <w:rPr>
          <w:rFonts w:eastAsia="Times New Roman" w:cs="Times New Roman"/>
          <w:i/>
          <w:color w:val="000000"/>
          <w:szCs w:val="22"/>
          <w:u w:val="single"/>
          <w:lang w:eastAsia="da-DK"/>
        </w:rPr>
      </w:pPr>
      <w:r w:rsidRPr="009779A4">
        <w:rPr>
          <w:i/>
          <w:szCs w:val="22"/>
          <w:u w:val="single"/>
        </w:rPr>
        <w:t>Epinions replik</w:t>
      </w:r>
    </w:p>
    <w:p w14:paraId="136712FE" w14:textId="69C023CB" w:rsidR="009E3B3A" w:rsidRPr="009E3B3A" w:rsidRDefault="009E3B3A" w:rsidP="009E3B3A">
      <w:pPr>
        <w:rPr>
          <w:rFonts w:eastAsia="Times New Roman" w:cs="Times New Roman"/>
          <w:i/>
          <w:color w:val="000000"/>
          <w:szCs w:val="22"/>
          <w:lang w:eastAsia="da-DK"/>
        </w:rPr>
      </w:pPr>
      <w:r w:rsidRPr="009E3B3A">
        <w:rPr>
          <w:rFonts w:eastAsia="Times New Roman" w:cs="Times New Roman"/>
          <w:i/>
          <w:color w:val="000000"/>
          <w:szCs w:val="22"/>
          <w:lang w:eastAsia="da-DK"/>
        </w:rPr>
        <w:t>Epinions svar hertil er todelt.</w:t>
      </w:r>
    </w:p>
    <w:p w14:paraId="0B2A06EE" w14:textId="77777777" w:rsidR="009E3B3A" w:rsidRPr="009E3B3A" w:rsidRDefault="009E3B3A" w:rsidP="009E3B3A">
      <w:pPr>
        <w:rPr>
          <w:rFonts w:eastAsia="Times New Roman" w:cs="Times New Roman"/>
          <w:i/>
          <w:color w:val="000000"/>
          <w:szCs w:val="22"/>
          <w:lang w:eastAsia="da-DK"/>
        </w:rPr>
      </w:pPr>
    </w:p>
    <w:p w14:paraId="74506341" w14:textId="1D6F3FB2" w:rsidR="009E3B3A" w:rsidRPr="009E3B3A" w:rsidRDefault="009E3B3A" w:rsidP="009E3B3A">
      <w:pPr>
        <w:pStyle w:val="Opstilling-punkttegn"/>
        <w:ind w:left="284" w:hanging="284"/>
        <w:rPr>
          <w:i/>
          <w:lang w:eastAsia="da-DK"/>
        </w:rPr>
      </w:pPr>
      <w:r w:rsidRPr="009E3B3A">
        <w:rPr>
          <w:i/>
          <w:lang w:eastAsia="da-DK"/>
        </w:rPr>
        <w:t xml:space="preserve">Evalueringen har i sit design først og fremmest fokus på brug af Den Nationale klageinstans, herunder hvorfor/hvornår en klage finder vej til instansen. De inddragne cases er derfor i sagens natur eksempler på, hvad der fører til, at en sag ikke løses lokalt og ender </w:t>
      </w:r>
      <w:r w:rsidRPr="009E3B3A">
        <w:rPr>
          <w:i/>
          <w:lang w:eastAsia="da-DK"/>
        </w:rPr>
        <w:lastRenderedPageBreak/>
        <w:t>med behandling hos en ekstern instans. Som sådan giver casene viden om, hvordan forløbet udfolder sig, når en sag netop ikke kan håndteres i et frugtbart samarbejde, men må håndteres af en ekstern part. På den baggrund giver eksemplerne også fremadrettet viden om, hvordan man med fordel kan sørge for ikke at håndtere en sag. Vi mener i dette lys ikke, at såd</w:t>
      </w:r>
      <w:r w:rsidR="00211C0B">
        <w:rPr>
          <w:i/>
          <w:lang w:eastAsia="da-DK"/>
        </w:rPr>
        <w:t>a</w:t>
      </w:r>
      <w:r w:rsidRPr="009E3B3A">
        <w:rPr>
          <w:i/>
          <w:lang w:eastAsia="da-DK"/>
        </w:rPr>
        <w:t>nne data indebærer nogen slagside – denne viden er relevant, uanset om det nogle steder går godt. Vær opmærksom på, at vi i opgavens indledning bemærker, at der ikke kan generaliseres på disse eksempler.</w:t>
      </w:r>
    </w:p>
    <w:p w14:paraId="7FE9C614" w14:textId="77777777" w:rsidR="009E3B3A" w:rsidRPr="009E3B3A" w:rsidRDefault="009E3B3A" w:rsidP="009E3B3A">
      <w:pPr>
        <w:pStyle w:val="Opstilling-punkttegn"/>
        <w:numPr>
          <w:ilvl w:val="0"/>
          <w:numId w:val="0"/>
        </w:numPr>
        <w:ind w:left="284"/>
        <w:rPr>
          <w:i/>
          <w:lang w:eastAsia="da-DK"/>
        </w:rPr>
      </w:pPr>
    </w:p>
    <w:p w14:paraId="1546701F" w14:textId="4F469A6F" w:rsidR="009779A4" w:rsidRPr="009E3B3A" w:rsidRDefault="009E3B3A" w:rsidP="009E3B3A">
      <w:pPr>
        <w:pStyle w:val="Opstilling-punkttegn"/>
        <w:ind w:left="284" w:hanging="284"/>
        <w:rPr>
          <w:i/>
          <w:lang w:eastAsia="da-DK"/>
        </w:rPr>
      </w:pPr>
      <w:r w:rsidRPr="009E3B3A">
        <w:rPr>
          <w:i/>
          <w:lang w:eastAsia="da-DK"/>
        </w:rPr>
        <w:t>At der så iht. ovenstående kommentar ønskes mere viden om de givetvis mange situationer, hvor skoler og kommuner har iværksat et frugtbart samarbejde med forældrene, der ikke førte til klage hos Den Nationale Mobbeinstans, er forståeligt. Nu hvor typen af udfordringer er udpeget, er der skabt grundlag for evt. at kortlægge, hvor generelle disse tendenser er eller ikke er– og måske vigtigere, hvorhenne i sektoren der findes stærke eksempler på kommuner og skoler, der kan tjene til inspiration for, hvordan man kan organisere det gode skole-hjemsamarbejde, skabe klare klageprocesser og behandlingspraksis samt evt. potentialerne ved lokal mediering.</w:t>
      </w:r>
    </w:p>
    <w:p w14:paraId="3D94C599" w14:textId="77777777" w:rsidR="009779A4" w:rsidRPr="000D4513" w:rsidRDefault="009779A4" w:rsidP="007061AD">
      <w:pPr>
        <w:rPr>
          <w:rFonts w:eastAsia="Times New Roman" w:cs="Times New Roman"/>
          <w:color w:val="000000"/>
          <w:szCs w:val="22"/>
          <w:lang w:eastAsia="da-DK"/>
        </w:rPr>
      </w:pPr>
    </w:p>
    <w:p w14:paraId="0E5DC34F" w14:textId="2459ED0D" w:rsidR="009D7F0D" w:rsidRPr="000D4513" w:rsidRDefault="009D7F0D" w:rsidP="009D7F0D">
      <w:pPr>
        <w:rPr>
          <w:rFonts w:eastAsia="Times New Roman" w:cs="Times New Roman"/>
          <w:color w:val="000000"/>
          <w:szCs w:val="22"/>
          <w:lang w:eastAsia="da-DK"/>
        </w:rPr>
      </w:pPr>
      <w:r w:rsidRPr="000D4513">
        <w:rPr>
          <w:rFonts w:eastAsia="Times New Roman" w:cs="Times New Roman"/>
          <w:color w:val="000000"/>
          <w:szCs w:val="22"/>
          <w:u w:val="single"/>
          <w:lang w:eastAsia="da-DK"/>
        </w:rPr>
        <w:t>Danske Skoleelever</w:t>
      </w:r>
      <w:r w:rsidRPr="000D4513">
        <w:rPr>
          <w:rFonts w:eastAsia="Times New Roman" w:cs="Times New Roman"/>
          <w:color w:val="000000"/>
          <w:szCs w:val="22"/>
          <w:lang w:eastAsia="da-DK"/>
        </w:rPr>
        <w:t xml:space="preserve"> rejse</w:t>
      </w:r>
      <w:r w:rsidR="002B2726" w:rsidRPr="000D4513">
        <w:rPr>
          <w:rFonts w:eastAsia="Times New Roman" w:cs="Times New Roman"/>
          <w:color w:val="000000"/>
          <w:szCs w:val="22"/>
          <w:lang w:eastAsia="da-DK"/>
        </w:rPr>
        <w:t>r</w:t>
      </w:r>
      <w:r w:rsidRPr="000D4513">
        <w:rPr>
          <w:rFonts w:eastAsia="Times New Roman" w:cs="Times New Roman"/>
          <w:color w:val="000000"/>
          <w:szCs w:val="22"/>
          <w:lang w:eastAsia="da-DK"/>
        </w:rPr>
        <w:t xml:space="preserve"> kritik af den manglende involvering af elever</w:t>
      </w:r>
      <w:r w:rsidR="00010EEA" w:rsidRPr="000D4513">
        <w:rPr>
          <w:rFonts w:eastAsia="Times New Roman" w:cs="Times New Roman"/>
          <w:color w:val="000000"/>
          <w:szCs w:val="22"/>
          <w:lang w:eastAsia="da-DK"/>
        </w:rPr>
        <w:t>, som er d</w:t>
      </w:r>
      <w:r w:rsidR="00010EEA">
        <w:rPr>
          <w:rFonts w:eastAsia="Times New Roman" w:cs="Times New Roman"/>
          <w:color w:val="000000"/>
          <w:szCs w:val="22"/>
          <w:lang w:eastAsia="da-DK"/>
        </w:rPr>
        <w:t>e direkte berørte af lovgivning,</w:t>
      </w:r>
      <w:r w:rsidRPr="000D4513">
        <w:rPr>
          <w:rFonts w:eastAsia="Times New Roman" w:cs="Times New Roman"/>
          <w:color w:val="000000"/>
          <w:szCs w:val="22"/>
          <w:lang w:eastAsia="da-DK"/>
        </w:rPr>
        <w:t xml:space="preserve"> i </w:t>
      </w:r>
      <w:r w:rsidR="002B2726" w:rsidRPr="000D4513">
        <w:rPr>
          <w:rFonts w:eastAsia="Times New Roman" w:cs="Times New Roman"/>
          <w:color w:val="000000"/>
          <w:szCs w:val="22"/>
          <w:lang w:eastAsia="da-DK"/>
        </w:rPr>
        <w:t xml:space="preserve">Epinions evaluering, </w:t>
      </w:r>
      <w:r w:rsidR="00010EEA">
        <w:rPr>
          <w:rFonts w:eastAsia="Times New Roman" w:cs="Times New Roman"/>
          <w:color w:val="000000"/>
          <w:szCs w:val="22"/>
          <w:lang w:eastAsia="da-DK"/>
        </w:rPr>
        <w:t xml:space="preserve">dvs. at elever er noget, </w:t>
      </w:r>
      <w:r w:rsidR="002B2726" w:rsidRPr="000D4513">
        <w:rPr>
          <w:rFonts w:eastAsia="Times New Roman" w:cs="Times New Roman"/>
          <w:color w:val="000000"/>
          <w:szCs w:val="22"/>
          <w:lang w:eastAsia="da-DK"/>
        </w:rPr>
        <w:t xml:space="preserve">som man </w:t>
      </w:r>
      <w:r w:rsidRPr="000D4513">
        <w:rPr>
          <w:rFonts w:eastAsia="Times New Roman" w:cs="Times New Roman"/>
          <w:color w:val="000000"/>
          <w:szCs w:val="22"/>
          <w:lang w:eastAsia="da-DK"/>
        </w:rPr>
        <w:t>snakke</w:t>
      </w:r>
      <w:r w:rsidR="002B2726" w:rsidRPr="000D4513">
        <w:rPr>
          <w:rFonts w:eastAsia="Times New Roman" w:cs="Times New Roman"/>
          <w:color w:val="000000"/>
          <w:szCs w:val="22"/>
          <w:lang w:eastAsia="da-DK"/>
        </w:rPr>
        <w:t>r</w:t>
      </w:r>
      <w:r w:rsidRPr="000D4513">
        <w:rPr>
          <w:rFonts w:eastAsia="Times New Roman" w:cs="Times New Roman"/>
          <w:color w:val="000000"/>
          <w:szCs w:val="22"/>
          <w:lang w:eastAsia="da-DK"/>
        </w:rPr>
        <w:t xml:space="preserve"> om, men ikke med.</w:t>
      </w:r>
    </w:p>
    <w:p w14:paraId="3E1A61DA" w14:textId="0A639DBD" w:rsidR="009D7F0D" w:rsidRDefault="009D7F0D" w:rsidP="007061AD">
      <w:pPr>
        <w:rPr>
          <w:rFonts w:eastAsia="Times New Roman" w:cs="Times New Roman"/>
          <w:color w:val="000000"/>
          <w:szCs w:val="22"/>
          <w:lang w:eastAsia="da-DK"/>
        </w:rPr>
      </w:pPr>
    </w:p>
    <w:p w14:paraId="24262C20" w14:textId="77777777" w:rsidR="009E3B3A" w:rsidRPr="009779A4" w:rsidRDefault="009E3B3A" w:rsidP="009E3B3A">
      <w:pPr>
        <w:rPr>
          <w:rFonts w:eastAsia="Times New Roman" w:cs="Times New Roman"/>
          <w:i/>
          <w:color w:val="000000"/>
          <w:szCs w:val="22"/>
          <w:u w:val="single"/>
          <w:lang w:eastAsia="da-DK"/>
        </w:rPr>
      </w:pPr>
      <w:r w:rsidRPr="009779A4">
        <w:rPr>
          <w:i/>
          <w:szCs w:val="22"/>
          <w:u w:val="single"/>
        </w:rPr>
        <w:t>Epinions replik</w:t>
      </w:r>
    </w:p>
    <w:p w14:paraId="32D42472" w14:textId="2C5D3402" w:rsidR="009E3B3A" w:rsidRPr="009E3B3A" w:rsidRDefault="009E3B3A" w:rsidP="009E3B3A">
      <w:pPr>
        <w:rPr>
          <w:rFonts w:eastAsia="Times New Roman" w:cs="Times New Roman"/>
          <w:i/>
          <w:color w:val="000000"/>
          <w:szCs w:val="22"/>
          <w:lang w:eastAsia="da-DK"/>
        </w:rPr>
      </w:pPr>
      <w:r w:rsidRPr="009E3B3A">
        <w:rPr>
          <w:rFonts w:eastAsia="Times New Roman" w:cs="Times New Roman"/>
          <w:i/>
          <w:color w:val="000000"/>
          <w:szCs w:val="22"/>
          <w:lang w:eastAsia="da-DK"/>
        </w:rPr>
        <w:t xml:space="preserve">Vi har været opmærksomme på relevansen af at afdække perspektiver fra børn, der har oplevet at være en del af en klagesag i regi af antimobbebestemmelserne, og der er i evalueringsdesignet også </w:t>
      </w:r>
      <w:proofErr w:type="spellStart"/>
      <w:r w:rsidRPr="009E3B3A">
        <w:rPr>
          <w:rFonts w:eastAsia="Times New Roman" w:cs="Times New Roman"/>
          <w:i/>
          <w:color w:val="000000"/>
          <w:szCs w:val="22"/>
          <w:lang w:eastAsia="da-DK"/>
        </w:rPr>
        <w:t>indtænkt</w:t>
      </w:r>
      <w:proofErr w:type="spellEnd"/>
      <w:r w:rsidRPr="009E3B3A">
        <w:rPr>
          <w:rFonts w:eastAsia="Times New Roman" w:cs="Times New Roman"/>
          <w:i/>
          <w:color w:val="000000"/>
          <w:szCs w:val="22"/>
          <w:lang w:eastAsia="da-DK"/>
        </w:rPr>
        <w:t xml:space="preserve"> muligheden for at gennemføre interview med børnene i de ni cases.</w:t>
      </w:r>
    </w:p>
    <w:p w14:paraId="0EA0FE95" w14:textId="77777777" w:rsidR="009E3B3A" w:rsidRPr="009E3B3A" w:rsidRDefault="009E3B3A" w:rsidP="009E3B3A">
      <w:pPr>
        <w:rPr>
          <w:rFonts w:eastAsia="Times New Roman" w:cs="Times New Roman"/>
          <w:i/>
          <w:color w:val="000000"/>
          <w:szCs w:val="22"/>
          <w:lang w:eastAsia="da-DK"/>
        </w:rPr>
      </w:pPr>
    </w:p>
    <w:p w14:paraId="0F87079A" w14:textId="77777777" w:rsidR="009E3B3A" w:rsidRPr="009E3B3A" w:rsidRDefault="009E3B3A" w:rsidP="009E3B3A">
      <w:pPr>
        <w:rPr>
          <w:rFonts w:eastAsia="Times New Roman" w:cs="Times New Roman"/>
          <w:i/>
          <w:color w:val="000000"/>
          <w:szCs w:val="22"/>
          <w:lang w:eastAsia="da-DK"/>
        </w:rPr>
      </w:pPr>
      <w:r w:rsidRPr="009E3B3A">
        <w:rPr>
          <w:rFonts w:eastAsia="Times New Roman" w:cs="Times New Roman"/>
          <w:i/>
          <w:color w:val="000000"/>
          <w:szCs w:val="22"/>
          <w:lang w:eastAsia="da-DK"/>
        </w:rPr>
        <w:t>Vi har dog samtidigt været opmærksomme på, at der kan være tale om børn (og for så vidt også forældre), der befinder sig i en skrøbelig situation og over længere tid har oplevet et stort pres – både som følge af sagens omdrejningspunkt, dvs. selve oplevelsen af at blive mobbet, men også klagesagsforløbet i sig selv.</w:t>
      </w:r>
    </w:p>
    <w:p w14:paraId="14B624DE" w14:textId="77777777" w:rsidR="009E3B3A" w:rsidRPr="009E3B3A" w:rsidRDefault="009E3B3A" w:rsidP="009E3B3A">
      <w:pPr>
        <w:rPr>
          <w:rFonts w:eastAsia="Times New Roman" w:cs="Times New Roman"/>
          <w:i/>
          <w:color w:val="000000"/>
          <w:szCs w:val="22"/>
          <w:lang w:eastAsia="da-DK"/>
        </w:rPr>
      </w:pPr>
    </w:p>
    <w:p w14:paraId="16C0DF89" w14:textId="539EF8A8" w:rsidR="009E3B3A" w:rsidRPr="009E3B3A" w:rsidRDefault="009E3B3A" w:rsidP="009E3B3A">
      <w:pPr>
        <w:rPr>
          <w:rFonts w:eastAsia="Times New Roman" w:cs="Times New Roman"/>
          <w:i/>
          <w:color w:val="000000"/>
          <w:szCs w:val="22"/>
          <w:lang w:eastAsia="da-DK"/>
        </w:rPr>
      </w:pPr>
      <w:r w:rsidRPr="009E3B3A">
        <w:rPr>
          <w:rFonts w:eastAsia="Times New Roman" w:cs="Times New Roman"/>
          <w:i/>
          <w:color w:val="000000"/>
          <w:szCs w:val="22"/>
          <w:lang w:eastAsia="da-DK"/>
        </w:rPr>
        <w:t xml:space="preserve">Det betyder, at både barn og forældre i hver af de ni kvalitative cases er blevet inviteret til at deltage i evalueringen, men vi har vi ladet det være op til forældrene at vurdere, hvorvidt det var hensigtsmæssigt at barnet skulle deltage i interviewene eller ej. Dette har ingen forældre ønsket. Vi har dog i interviews og samtaler med alle de interviewede aktører (herunder flere børneorganisationer og </w:t>
      </w:r>
      <w:proofErr w:type="spellStart"/>
      <w:r w:rsidRPr="009E3B3A">
        <w:rPr>
          <w:rFonts w:eastAsia="Times New Roman" w:cs="Times New Roman"/>
          <w:i/>
          <w:color w:val="000000"/>
          <w:szCs w:val="22"/>
          <w:lang w:eastAsia="da-DK"/>
        </w:rPr>
        <w:t>STUKs</w:t>
      </w:r>
      <w:proofErr w:type="spellEnd"/>
      <w:r w:rsidRPr="009E3B3A">
        <w:rPr>
          <w:rFonts w:eastAsia="Times New Roman" w:cs="Times New Roman"/>
          <w:i/>
          <w:color w:val="000000"/>
          <w:szCs w:val="22"/>
          <w:lang w:eastAsia="da-DK"/>
        </w:rPr>
        <w:t xml:space="preserve"> medieringskonsulenter, der i forbindelse med medieringsindsatser gennemfører samtaler med børnene) efterstræbt at få indblik i børnenes perspektiv.</w:t>
      </w:r>
    </w:p>
    <w:p w14:paraId="0A01A857" w14:textId="77777777" w:rsidR="009E3B3A" w:rsidRPr="000D4513" w:rsidRDefault="009E3B3A" w:rsidP="007061AD">
      <w:pPr>
        <w:rPr>
          <w:rFonts w:eastAsia="Times New Roman" w:cs="Times New Roman"/>
          <w:color w:val="000000"/>
          <w:szCs w:val="22"/>
          <w:lang w:eastAsia="da-DK"/>
        </w:rPr>
      </w:pPr>
    </w:p>
    <w:p w14:paraId="1528ABDC" w14:textId="28E7D920" w:rsidR="007F0FE0" w:rsidRPr="000D4513" w:rsidRDefault="002B2726" w:rsidP="007F0FE0">
      <w:pPr>
        <w:rPr>
          <w:rFonts w:eastAsia="Times New Roman" w:cs="Times New Roman"/>
          <w:color w:val="000000"/>
          <w:szCs w:val="22"/>
          <w:lang w:eastAsia="da-DK"/>
        </w:rPr>
      </w:pPr>
      <w:r w:rsidRPr="000D4513">
        <w:rPr>
          <w:rFonts w:eastAsia="Times New Roman" w:cs="Times New Roman"/>
          <w:color w:val="000000"/>
          <w:szCs w:val="22"/>
          <w:u w:val="single"/>
          <w:lang w:eastAsia="da-DK"/>
        </w:rPr>
        <w:t>Dansk Friskoleforening</w:t>
      </w:r>
      <w:r w:rsidRPr="000D4513">
        <w:rPr>
          <w:rFonts w:eastAsia="Times New Roman" w:cs="Times New Roman"/>
          <w:color w:val="000000"/>
          <w:szCs w:val="22"/>
          <w:lang w:eastAsia="da-DK"/>
        </w:rPr>
        <w:t xml:space="preserve"> </w:t>
      </w:r>
      <w:r w:rsidR="00C96729" w:rsidRPr="000D4513">
        <w:rPr>
          <w:rFonts w:eastAsia="Times New Roman" w:cs="Times New Roman"/>
          <w:color w:val="000000"/>
          <w:szCs w:val="22"/>
          <w:lang w:eastAsia="da-DK"/>
        </w:rPr>
        <w:t xml:space="preserve">finder, at </w:t>
      </w:r>
      <w:r w:rsidR="007F0FE0" w:rsidRPr="000D4513">
        <w:rPr>
          <w:rFonts w:eastAsia="Times New Roman" w:cs="Times New Roman"/>
          <w:color w:val="000000"/>
          <w:szCs w:val="22"/>
          <w:lang w:eastAsia="da-DK"/>
        </w:rPr>
        <w:t>dele af de konklusioner</w:t>
      </w:r>
      <w:r w:rsidR="00C96729" w:rsidRPr="000D4513">
        <w:rPr>
          <w:rFonts w:eastAsia="Times New Roman" w:cs="Times New Roman"/>
          <w:color w:val="000000"/>
          <w:szCs w:val="22"/>
          <w:lang w:eastAsia="da-DK"/>
        </w:rPr>
        <w:t>,</w:t>
      </w:r>
      <w:r w:rsidRPr="000D4513">
        <w:rPr>
          <w:rFonts w:eastAsia="Times New Roman" w:cs="Times New Roman"/>
          <w:color w:val="000000"/>
          <w:szCs w:val="22"/>
          <w:lang w:eastAsia="da-DK"/>
        </w:rPr>
        <w:t xml:space="preserve"> </w:t>
      </w:r>
      <w:r w:rsidR="00C96729" w:rsidRPr="000D4513">
        <w:rPr>
          <w:rFonts w:eastAsia="Times New Roman" w:cs="Times New Roman"/>
          <w:color w:val="000000"/>
          <w:szCs w:val="22"/>
          <w:lang w:eastAsia="da-DK"/>
        </w:rPr>
        <w:t>som i Epinions evaluering</w:t>
      </w:r>
      <w:r w:rsidR="007F0FE0" w:rsidRPr="000D4513">
        <w:rPr>
          <w:rFonts w:eastAsia="Times New Roman" w:cs="Times New Roman"/>
          <w:color w:val="000000"/>
          <w:szCs w:val="22"/>
          <w:lang w:eastAsia="da-DK"/>
        </w:rPr>
        <w:t xml:space="preserve"> trækkes ud </w:t>
      </w:r>
      <w:r w:rsidR="00C96729" w:rsidRPr="000D4513">
        <w:rPr>
          <w:rFonts w:eastAsia="Times New Roman" w:cs="Times New Roman"/>
          <w:color w:val="000000"/>
          <w:szCs w:val="22"/>
          <w:lang w:eastAsia="da-DK"/>
        </w:rPr>
        <w:t>af</w:t>
      </w:r>
      <w:r w:rsidR="007F0FE0" w:rsidRPr="000D4513">
        <w:rPr>
          <w:rFonts w:eastAsia="Times New Roman" w:cs="Times New Roman"/>
          <w:color w:val="000000"/>
          <w:szCs w:val="22"/>
          <w:lang w:eastAsia="da-DK"/>
        </w:rPr>
        <w:t xml:space="preserve"> spørgeskemaunde</w:t>
      </w:r>
      <w:r w:rsidR="00C96729" w:rsidRPr="000D4513">
        <w:rPr>
          <w:rFonts w:eastAsia="Times New Roman" w:cs="Times New Roman"/>
          <w:color w:val="000000"/>
          <w:szCs w:val="22"/>
          <w:lang w:eastAsia="da-DK"/>
        </w:rPr>
        <w:t>rsøgelse</w:t>
      </w:r>
      <w:r w:rsidR="00E20C9E">
        <w:rPr>
          <w:rFonts w:eastAsia="Times New Roman" w:cs="Times New Roman"/>
          <w:color w:val="000000"/>
          <w:szCs w:val="22"/>
          <w:lang w:eastAsia="da-DK"/>
        </w:rPr>
        <w:t>n</w:t>
      </w:r>
      <w:r w:rsidR="007F0FE0" w:rsidRPr="000D4513">
        <w:rPr>
          <w:rFonts w:eastAsia="Times New Roman" w:cs="Times New Roman"/>
          <w:color w:val="000000"/>
          <w:szCs w:val="22"/>
          <w:lang w:eastAsia="da-DK"/>
        </w:rPr>
        <w:t>,</w:t>
      </w:r>
      <w:r w:rsidR="00C96729" w:rsidRPr="000D4513">
        <w:rPr>
          <w:rFonts w:eastAsia="Times New Roman" w:cs="Times New Roman"/>
          <w:color w:val="000000"/>
          <w:szCs w:val="22"/>
          <w:lang w:eastAsia="da-DK"/>
        </w:rPr>
        <w:t xml:space="preserve"> drages på et ukorrekt grundlag og med manglende nuancer, fx at svar baseret på enkeltpersoners personlige opfattelser eller formodninger tages til indtægt for faktum om institutionens forhold.</w:t>
      </w:r>
    </w:p>
    <w:p w14:paraId="5455CB39" w14:textId="3F6C0D7B" w:rsidR="000456D2" w:rsidRDefault="000456D2" w:rsidP="007061AD">
      <w:pPr>
        <w:rPr>
          <w:rFonts w:eastAsia="Times New Roman" w:cs="Times New Roman"/>
          <w:color w:val="000000"/>
          <w:szCs w:val="22"/>
          <w:lang w:eastAsia="da-DK"/>
        </w:rPr>
      </w:pPr>
    </w:p>
    <w:p w14:paraId="482ADB71" w14:textId="77777777" w:rsidR="009E3B3A" w:rsidRPr="009779A4" w:rsidRDefault="009E3B3A" w:rsidP="009E3B3A">
      <w:pPr>
        <w:rPr>
          <w:rFonts w:eastAsia="Times New Roman" w:cs="Times New Roman"/>
          <w:i/>
          <w:color w:val="000000"/>
          <w:szCs w:val="22"/>
          <w:u w:val="single"/>
          <w:lang w:eastAsia="da-DK"/>
        </w:rPr>
      </w:pPr>
      <w:r w:rsidRPr="009779A4">
        <w:rPr>
          <w:i/>
          <w:szCs w:val="22"/>
          <w:u w:val="single"/>
        </w:rPr>
        <w:t>Epinions replik</w:t>
      </w:r>
    </w:p>
    <w:p w14:paraId="2F4E05B8" w14:textId="144D8084" w:rsidR="009E3B3A" w:rsidRPr="009E3B3A" w:rsidRDefault="009E3B3A" w:rsidP="007061AD">
      <w:pPr>
        <w:rPr>
          <w:rFonts w:eastAsia="Times New Roman" w:cs="Times New Roman"/>
          <w:i/>
          <w:color w:val="000000"/>
          <w:szCs w:val="22"/>
          <w:lang w:eastAsia="da-DK"/>
        </w:rPr>
      </w:pPr>
      <w:r w:rsidRPr="009E3B3A">
        <w:rPr>
          <w:rFonts w:eastAsia="Times New Roman" w:cs="Times New Roman"/>
          <w:i/>
          <w:color w:val="000000"/>
          <w:szCs w:val="22"/>
          <w:lang w:eastAsia="da-DK"/>
        </w:rPr>
        <w:t>Som det fremgår af rapporten, er invitationen til spørgeskemaundersøgelsen blandt uddannelsesinstitutionerne sendt til skolelederen på uddannelsesinstitutionerne, der er blevet bedt om at videresende undersøgelsen til besvarelse hos den medarbejder på skolen, som har ansvar for eller kendskab til skolens arbejde med antimobbestrategi, elevtrivsel mv. Da dette fremgår af rapporten, vurderer vi ikke, at der er behov for at ændre rapportens konklusioner.</w:t>
      </w:r>
    </w:p>
    <w:p w14:paraId="61DC31DB" w14:textId="77777777" w:rsidR="009E3B3A" w:rsidRPr="000D4513" w:rsidRDefault="009E3B3A" w:rsidP="007061AD">
      <w:pPr>
        <w:rPr>
          <w:rFonts w:eastAsia="Times New Roman" w:cs="Times New Roman"/>
          <w:color w:val="000000"/>
          <w:szCs w:val="22"/>
          <w:lang w:eastAsia="da-DK"/>
        </w:rPr>
      </w:pPr>
    </w:p>
    <w:p w14:paraId="7A621B4D" w14:textId="77777777" w:rsidR="00AE4B61" w:rsidRPr="000D4513" w:rsidRDefault="004F527C" w:rsidP="007061AD">
      <w:r w:rsidRPr="000D4513">
        <w:rPr>
          <w:rFonts w:eastAsia="Times New Roman" w:cs="Times New Roman"/>
          <w:color w:val="000000"/>
          <w:szCs w:val="22"/>
          <w:u w:val="single"/>
          <w:lang w:eastAsia="da-DK"/>
        </w:rPr>
        <w:t>Frie Skolers Lærerforening</w:t>
      </w:r>
      <w:r w:rsidRPr="000D4513">
        <w:rPr>
          <w:rFonts w:eastAsia="Times New Roman" w:cs="Times New Roman"/>
          <w:color w:val="000000"/>
          <w:szCs w:val="22"/>
          <w:lang w:eastAsia="da-DK"/>
        </w:rPr>
        <w:t xml:space="preserve"> anbefaler</w:t>
      </w:r>
      <w:r w:rsidR="00F3753F" w:rsidRPr="000D4513">
        <w:rPr>
          <w:rFonts w:eastAsia="Times New Roman" w:cs="Times New Roman"/>
          <w:color w:val="000000"/>
          <w:szCs w:val="22"/>
          <w:lang w:eastAsia="da-DK"/>
        </w:rPr>
        <w:t>,</w:t>
      </w:r>
      <w:r w:rsidRPr="000D4513">
        <w:rPr>
          <w:rFonts w:eastAsia="Times New Roman" w:cs="Times New Roman"/>
          <w:color w:val="000000"/>
          <w:szCs w:val="22"/>
          <w:lang w:eastAsia="da-DK"/>
        </w:rPr>
        <w:t xml:space="preserve"> at datagrundlaget for de forskellige skoleformer forbedres, så det er muligt for de frie skoler at se, i hvilket omfang forældre på frie skoler anvender Den Nationale Klageinstans mod Mobning, og hvilke typer af afg</w:t>
      </w:r>
      <w:r w:rsidR="00F3753F" w:rsidRPr="000D4513">
        <w:rPr>
          <w:rFonts w:eastAsia="Times New Roman" w:cs="Times New Roman"/>
          <w:color w:val="000000"/>
          <w:szCs w:val="22"/>
          <w:lang w:eastAsia="da-DK"/>
        </w:rPr>
        <w:t>ørelser der træffes på området.</w:t>
      </w:r>
    </w:p>
    <w:p w14:paraId="04305F93" w14:textId="77777777" w:rsidR="009E3B3A" w:rsidRDefault="009E3B3A" w:rsidP="007061AD">
      <w:pPr>
        <w:rPr>
          <w:color w:val="568096" w:themeColor="text2"/>
        </w:rPr>
      </w:pPr>
    </w:p>
    <w:p w14:paraId="366887E4" w14:textId="77777777" w:rsidR="009E3B3A" w:rsidRPr="009779A4" w:rsidRDefault="009E3B3A" w:rsidP="009E3B3A">
      <w:pPr>
        <w:rPr>
          <w:rFonts w:eastAsia="Times New Roman" w:cs="Times New Roman"/>
          <w:i/>
          <w:color w:val="000000"/>
          <w:szCs w:val="22"/>
          <w:u w:val="single"/>
          <w:lang w:eastAsia="da-DK"/>
        </w:rPr>
      </w:pPr>
      <w:r w:rsidRPr="009779A4">
        <w:rPr>
          <w:i/>
          <w:szCs w:val="22"/>
          <w:u w:val="single"/>
        </w:rPr>
        <w:t>Epinions replik</w:t>
      </w:r>
    </w:p>
    <w:p w14:paraId="2B86632E" w14:textId="749BC7D6" w:rsidR="000D4513" w:rsidRDefault="009E3B3A" w:rsidP="007061AD">
      <w:r w:rsidRPr="009E3B3A">
        <w:rPr>
          <w:rFonts w:eastAsia="Times New Roman" w:cs="Times New Roman"/>
          <w:i/>
          <w:color w:val="000000"/>
          <w:szCs w:val="22"/>
          <w:lang w:eastAsia="da-DK"/>
        </w:rPr>
        <w:lastRenderedPageBreak/>
        <w:t>Vi vurderer, at kommentaren i højere grad går på registreringspraksis for sager. I første omgang vil det fx kunne være relevant, at Ministeriet kontakter DCUM og drøfter potentialet i og mulighederne for udvidet registreringspraksis for sager og henvendelser.</w:t>
      </w:r>
    </w:p>
    <w:p w14:paraId="29192987" w14:textId="77777777" w:rsidR="000D4513" w:rsidRPr="000D4513" w:rsidRDefault="000D4513" w:rsidP="007061AD">
      <w:pPr>
        <w:rPr>
          <w:szCs w:val="22"/>
        </w:rPr>
      </w:pPr>
    </w:p>
    <w:p w14:paraId="405351D3" w14:textId="77777777" w:rsidR="00E71A15" w:rsidRPr="000D4513" w:rsidRDefault="00900D49" w:rsidP="007061AD">
      <w:pPr>
        <w:pStyle w:val="Overskrift1"/>
        <w:ind w:left="425" w:hanging="425"/>
        <w:rPr>
          <w:szCs w:val="22"/>
        </w:rPr>
      </w:pPr>
      <w:bookmarkStart w:id="18" w:name="_Ref52719408"/>
      <w:bookmarkStart w:id="19" w:name="_Toc54877181"/>
      <w:r w:rsidRPr="000D4513">
        <w:rPr>
          <w:szCs w:val="22"/>
        </w:rPr>
        <w:t>Antimobbestrat</w:t>
      </w:r>
      <w:r w:rsidR="008F7205" w:rsidRPr="000D4513">
        <w:rPr>
          <w:szCs w:val="22"/>
        </w:rPr>
        <w:t>egi og handlingsplaner</w:t>
      </w:r>
      <w:bookmarkEnd w:id="18"/>
      <w:bookmarkEnd w:id="19"/>
    </w:p>
    <w:p w14:paraId="5776D707" w14:textId="77777777" w:rsidR="002853BE" w:rsidRPr="000D4513" w:rsidRDefault="002853BE" w:rsidP="007061AD">
      <w:pPr>
        <w:pStyle w:val="Brdtekst"/>
        <w:rPr>
          <w:szCs w:val="22"/>
        </w:rPr>
      </w:pPr>
    </w:p>
    <w:p w14:paraId="05241D69" w14:textId="77777777" w:rsidR="008F7205" w:rsidRPr="000D4513" w:rsidRDefault="008F7205" w:rsidP="009B54C2">
      <w:pPr>
        <w:pStyle w:val="Overskrift2"/>
        <w:ind w:left="426" w:hanging="455"/>
        <w:rPr>
          <w:szCs w:val="22"/>
        </w:rPr>
      </w:pPr>
      <w:bookmarkStart w:id="20" w:name="_Toc54877182"/>
      <w:r w:rsidRPr="000D4513">
        <w:t>Epinion</w:t>
      </w:r>
      <w:r w:rsidRPr="000D4513">
        <w:rPr>
          <w:szCs w:val="22"/>
        </w:rPr>
        <w:t>-evalueringens centrale resultater</w:t>
      </w:r>
      <w:bookmarkEnd w:id="20"/>
    </w:p>
    <w:p w14:paraId="5588EDE8" w14:textId="77777777" w:rsidR="008F7205" w:rsidRPr="000D4513" w:rsidRDefault="008F7205" w:rsidP="007061AD">
      <w:pPr>
        <w:pStyle w:val="Brdtekst"/>
        <w:rPr>
          <w:szCs w:val="22"/>
        </w:rPr>
      </w:pPr>
      <w:r w:rsidRPr="000D4513">
        <w:rPr>
          <w:szCs w:val="22"/>
        </w:rPr>
        <w:t>Hovedresultaterne af Epinions evaluering er for så vidt angår bestemmelserne om antimobning:</w:t>
      </w:r>
    </w:p>
    <w:p w14:paraId="4C1F2BA8" w14:textId="77777777" w:rsidR="008417FE" w:rsidRPr="000D4513" w:rsidRDefault="008417FE" w:rsidP="008417FE">
      <w:pPr>
        <w:pStyle w:val="Opstilling-punkttegn"/>
      </w:pPr>
      <w:r w:rsidRPr="000D4513">
        <w:t xml:space="preserve">92 pct. af uddannelsesinstitutionerne har en antimobbestrategi. </w:t>
      </w:r>
    </w:p>
    <w:p w14:paraId="011BAFEE" w14:textId="21FAAB92" w:rsidR="00A62161" w:rsidRPr="000D4513" w:rsidRDefault="008F7205" w:rsidP="007061AD">
      <w:pPr>
        <w:pStyle w:val="Opstilling-punkttegn"/>
      </w:pPr>
      <w:r w:rsidRPr="000D4513">
        <w:t xml:space="preserve">84 pct. af uddannelsesinstitutionerne angiver, at de oplever mobning på deres institution. </w:t>
      </w:r>
      <w:r w:rsidR="00A62161" w:rsidRPr="000D4513">
        <w:t>Af</w:t>
      </w:r>
      <w:r w:rsidRPr="000D4513">
        <w:t xml:space="preserve"> disse angiver 77 pct.,</w:t>
      </w:r>
      <w:r w:rsidR="00A62161" w:rsidRPr="000D4513">
        <w:t xml:space="preserve"> at der er tale om få tilfælde.</w:t>
      </w:r>
    </w:p>
    <w:p w14:paraId="1E38FE5A" w14:textId="77777777" w:rsidR="008F7205" w:rsidRPr="000D4513" w:rsidRDefault="008F7205" w:rsidP="007061AD">
      <w:pPr>
        <w:pStyle w:val="Opstilling-punkttegn"/>
      </w:pPr>
      <w:r w:rsidRPr="000D4513">
        <w:t>20 pct. af forældre angiver, at deres børn er blevet mobbet inden for de seneste tre år.</w:t>
      </w:r>
    </w:p>
    <w:p w14:paraId="0B8281B7" w14:textId="494234B3" w:rsidR="008F7205" w:rsidRPr="000D4513" w:rsidRDefault="008F7205" w:rsidP="007061AD">
      <w:pPr>
        <w:pStyle w:val="Opstilling-punkttegn"/>
      </w:pPr>
      <w:r w:rsidRPr="000D4513">
        <w:t>30 pct. af folkeskolerne, 34 pct. af efterskolerne og 42 pct. af fri- og privatskolerne</w:t>
      </w:r>
      <w:r w:rsidR="00A62161" w:rsidRPr="000D4513">
        <w:t xml:space="preserve"> angiver</w:t>
      </w:r>
      <w:r w:rsidR="00010EEA">
        <w:t>,</w:t>
      </w:r>
      <w:r w:rsidR="00A62161" w:rsidRPr="000D4513">
        <w:t xml:space="preserve"> at de mangler viden om, hvordan mobning forebygges</w:t>
      </w:r>
      <w:r w:rsidRPr="000D4513">
        <w:t>.</w:t>
      </w:r>
    </w:p>
    <w:p w14:paraId="0F6AC0BC" w14:textId="77777777" w:rsidR="008F7205" w:rsidRPr="000D4513" w:rsidRDefault="008F7205" w:rsidP="007061AD">
      <w:pPr>
        <w:pStyle w:val="Opstilling-punkttegn"/>
      </w:pPr>
      <w:r w:rsidRPr="000D4513">
        <w:t>75 pct. af forældrene kender til lovkravet om, at uddannelsesinstitutionerne skal have en anti</w:t>
      </w:r>
      <w:r w:rsidR="00A62161" w:rsidRPr="000D4513">
        <w:t xml:space="preserve">mobbestrategi. </w:t>
      </w:r>
      <w:r w:rsidRPr="000D4513">
        <w:t>51 pct. af forældrene ved</w:t>
      </w:r>
      <w:r w:rsidR="00A62161" w:rsidRPr="000D4513">
        <w:t xml:space="preserve"> ikke</w:t>
      </w:r>
      <w:r w:rsidRPr="000D4513">
        <w:t>, om deres barns institution har en antimobbestrategi.</w:t>
      </w:r>
    </w:p>
    <w:p w14:paraId="0D70A7E8" w14:textId="77777777" w:rsidR="008F7205" w:rsidRPr="000D4513" w:rsidRDefault="008F7205" w:rsidP="007061AD">
      <w:pPr>
        <w:pStyle w:val="Opstilling-punkttegn"/>
      </w:pPr>
      <w:r w:rsidRPr="000D4513">
        <w:t xml:space="preserve">83 pct. af folkeskolerne kender lovkravet om, </w:t>
      </w:r>
      <w:r w:rsidR="00A62161" w:rsidRPr="000D4513">
        <w:t>at der skal udarbejdes en handlings</w:t>
      </w:r>
      <w:r w:rsidRPr="000D4513">
        <w:t>plan, når der er konstateret mob</w:t>
      </w:r>
      <w:r w:rsidR="00900D49" w:rsidRPr="000D4513">
        <w:t>ning på skolen.</w:t>
      </w:r>
      <w:r w:rsidR="00A62161" w:rsidRPr="000D4513">
        <w:t xml:space="preserve"> 74 pct. af erhvervsskoler kender til lovkravet.</w:t>
      </w:r>
    </w:p>
    <w:p w14:paraId="35E62292" w14:textId="77777777" w:rsidR="00900D49" w:rsidRPr="000D4513" w:rsidRDefault="00900D49" w:rsidP="007061AD">
      <w:pPr>
        <w:pStyle w:val="Opstilling-punkttegn"/>
      </w:pPr>
      <w:r w:rsidRPr="000D4513">
        <w:t>26 pct. af folkeskolerne angiver, at de sjældent eller aldrig udarbejder handlingsplaner ved tilfælde af mobning. 41 pct. af gymnasierne angiver, at de sjældent eller aldrig udarbejder handlingsplaner ved tilfælde af mobning.</w:t>
      </w:r>
    </w:p>
    <w:p w14:paraId="58C90E78" w14:textId="77777777" w:rsidR="008F7205" w:rsidRPr="000D4513" w:rsidRDefault="008F7205" w:rsidP="007061AD">
      <w:pPr>
        <w:pStyle w:val="Opstilling-punkttegn"/>
      </w:pPr>
      <w:r w:rsidRPr="000D4513">
        <w:t>7 pct. af forældrene</w:t>
      </w:r>
      <w:r w:rsidR="00900D49" w:rsidRPr="000D4513">
        <w:t xml:space="preserve"> angiver</w:t>
      </w:r>
      <w:r w:rsidRPr="000D4513">
        <w:t xml:space="preserve">, at uddannelsesinstitutionen udarbejdede en handlingsplan i forbindelse med </w:t>
      </w:r>
      <w:r w:rsidR="00900D49" w:rsidRPr="000D4513">
        <w:t>oplevet mobning inden for de seneste tre år</w:t>
      </w:r>
      <w:r w:rsidRPr="000D4513">
        <w:t xml:space="preserve">. </w:t>
      </w:r>
    </w:p>
    <w:p w14:paraId="343D086E" w14:textId="32061C0B" w:rsidR="00900D49" w:rsidRPr="000D4513" w:rsidRDefault="00900D49" w:rsidP="007061AD">
      <w:pPr>
        <w:pStyle w:val="Opstilling-punkttegn"/>
      </w:pPr>
      <w:r w:rsidRPr="000D4513">
        <w:t xml:space="preserve">Det </w:t>
      </w:r>
      <w:r w:rsidR="0022193A" w:rsidRPr="000D4513">
        <w:t>er</w:t>
      </w:r>
      <w:r w:rsidRPr="000D4513">
        <w:t xml:space="preserve"> afgørende for en antimobbestrategis effekt, at den udarbejdes igennem </w:t>
      </w:r>
      <w:r w:rsidR="00E20C9E">
        <w:t xml:space="preserve">en </w:t>
      </w:r>
      <w:r w:rsidRPr="000D4513">
        <w:t xml:space="preserve">bred og medinddragende </w:t>
      </w:r>
      <w:r w:rsidR="00010EEA">
        <w:t xml:space="preserve">proces </w:t>
      </w:r>
      <w:r w:rsidRPr="000D4513">
        <w:t>på institutionen.</w:t>
      </w:r>
    </w:p>
    <w:p w14:paraId="247940F3" w14:textId="443E9CDA" w:rsidR="00900D49" w:rsidRPr="000D4513" w:rsidRDefault="00900D49" w:rsidP="007061AD">
      <w:pPr>
        <w:pStyle w:val="Opstilling-punkttegn"/>
      </w:pPr>
      <w:r w:rsidRPr="000D4513">
        <w:t xml:space="preserve">Lovens begreb </w:t>
      </w:r>
      <w:r w:rsidR="00234DE1" w:rsidRPr="000D4513">
        <w:t>"</w:t>
      </w:r>
      <w:r w:rsidRPr="000D4513">
        <w:t xml:space="preserve">mobning </w:t>
      </w:r>
      <w:r w:rsidR="00E20C9E">
        <w:t>eller</w:t>
      </w:r>
      <w:r w:rsidRPr="000D4513">
        <w:t xml:space="preserve"> lignende</w:t>
      </w:r>
      <w:r w:rsidR="00234DE1" w:rsidRPr="000D4513">
        <w:t>"</w:t>
      </w:r>
      <w:r w:rsidRPr="000D4513">
        <w:t xml:space="preserve"> giver ofte anledning til uenighed mellem klagere og forældre på den ene side og uddannelsesstedet på den and</w:t>
      </w:r>
      <w:r w:rsidR="00010EEA">
        <w:t>en</w:t>
      </w:r>
      <w:r w:rsidRPr="000D4513">
        <w:t xml:space="preserve"> </w:t>
      </w:r>
      <w:r w:rsidR="00E20C9E">
        <w:t xml:space="preserve">side </w:t>
      </w:r>
      <w:r w:rsidRPr="000D4513">
        <w:t>og dermed om, hvorvidt en handlingsplan skal udarbejdes/iværksættes. DCUM angive</w:t>
      </w:r>
      <w:r w:rsidR="00E20C9E">
        <w:t>r</w:t>
      </w:r>
      <w:r w:rsidRPr="000D4513">
        <w:t>, at 61 pct. af klagerne har omhandlet institutionens manglende anerkendelse af, at en situation skulle tolkes som mobning eller lignende.</w:t>
      </w:r>
    </w:p>
    <w:p w14:paraId="5ABD6DB6" w14:textId="640CCBA3" w:rsidR="00900D49" w:rsidRPr="000D4513" w:rsidRDefault="00900D49" w:rsidP="007061AD">
      <w:pPr>
        <w:pStyle w:val="Opstilling-punkttegn"/>
      </w:pPr>
      <w:r w:rsidRPr="000D4513">
        <w:t>Sandsynligheden for</w:t>
      </w:r>
      <w:r w:rsidR="00010EEA">
        <w:t>,</w:t>
      </w:r>
      <w:r w:rsidRPr="000D4513">
        <w:t xml:space="preserve"> at handlingsplaner udarbejdes</w:t>
      </w:r>
      <w:r w:rsidR="00010EEA">
        <w:t>,</w:t>
      </w:r>
      <w:r w:rsidRPr="000D4513">
        <w:t xml:space="preserve"> stiger, hvis det er læreren, der konstaterer mobning.</w:t>
      </w:r>
    </w:p>
    <w:p w14:paraId="3026CB3D" w14:textId="70C93F7F" w:rsidR="001F05D8" w:rsidRPr="000D4513" w:rsidRDefault="001F05D8" w:rsidP="007061AD">
      <w:pPr>
        <w:pStyle w:val="Opstilling-punkttegn"/>
      </w:pPr>
      <w:r w:rsidRPr="000D4513">
        <w:t>Kendskabet til lovbestemmelserne er mindre på gymnasier/hf og erhvervsskoler, end på folkeskoler. Mobbeforståelsen varierer på tværs af gymnasie</w:t>
      </w:r>
      <w:r w:rsidR="00E20C9E">
        <w:t>-</w:t>
      </w:r>
      <w:r w:rsidRPr="000D4513">
        <w:t>, erhvervsskole</w:t>
      </w:r>
      <w:r w:rsidR="00E20C9E">
        <w:t>-</w:t>
      </w:r>
      <w:r w:rsidRPr="000D4513">
        <w:t xml:space="preserve"> og grundskoleområde</w:t>
      </w:r>
      <w:r w:rsidR="00E20C9E">
        <w:t>rne</w:t>
      </w:r>
      <w:r w:rsidR="00010EEA">
        <w:t>.</w:t>
      </w:r>
    </w:p>
    <w:p w14:paraId="5B4FC11E" w14:textId="77777777" w:rsidR="00032473" w:rsidRPr="000D4513" w:rsidRDefault="00032473" w:rsidP="007061AD">
      <w:pPr>
        <w:pStyle w:val="Opstilling-punkttegn"/>
        <w:numPr>
          <w:ilvl w:val="0"/>
          <w:numId w:val="0"/>
        </w:numPr>
      </w:pPr>
    </w:p>
    <w:p w14:paraId="1DB09390" w14:textId="77777777" w:rsidR="00000B0F" w:rsidRPr="000D4513" w:rsidRDefault="00000B0F" w:rsidP="009B54C2">
      <w:pPr>
        <w:pStyle w:val="Overskrift2"/>
        <w:ind w:left="426" w:hanging="455"/>
        <w:rPr>
          <w:szCs w:val="22"/>
        </w:rPr>
      </w:pPr>
      <w:bookmarkStart w:id="21" w:name="_Ref53135424"/>
      <w:bookmarkStart w:id="22" w:name="_Toc54877183"/>
      <w:r w:rsidRPr="000D4513">
        <w:t>H</w:t>
      </w:r>
      <w:r w:rsidR="002853BE" w:rsidRPr="000D4513">
        <w:t>øringsparternes</w:t>
      </w:r>
      <w:r w:rsidR="002853BE" w:rsidRPr="000D4513">
        <w:rPr>
          <w:szCs w:val="22"/>
        </w:rPr>
        <w:t xml:space="preserve"> synspunkter i 1. høring</w:t>
      </w:r>
      <w:bookmarkEnd w:id="21"/>
      <w:bookmarkEnd w:id="22"/>
    </w:p>
    <w:p w14:paraId="1A19B1DD" w14:textId="77777777" w:rsidR="00E14C43" w:rsidRPr="000D4513" w:rsidRDefault="002853BE" w:rsidP="007061AD">
      <w:r w:rsidRPr="000D4513">
        <w:rPr>
          <w:szCs w:val="22"/>
          <w:u w:val="single"/>
        </w:rPr>
        <w:t>BUPL</w:t>
      </w:r>
      <w:r w:rsidRPr="000D4513">
        <w:rPr>
          <w:szCs w:val="22"/>
        </w:rPr>
        <w:t xml:space="preserve">, </w:t>
      </w:r>
      <w:r w:rsidRPr="000D4513">
        <w:rPr>
          <w:szCs w:val="22"/>
          <w:u w:val="single"/>
        </w:rPr>
        <w:t>Børne- og Kulturchefforeningen</w:t>
      </w:r>
      <w:r w:rsidRPr="000D4513">
        <w:rPr>
          <w:szCs w:val="22"/>
        </w:rPr>
        <w:t xml:space="preserve">, </w:t>
      </w:r>
      <w:r w:rsidRPr="000D4513">
        <w:rPr>
          <w:szCs w:val="22"/>
          <w:u w:val="single"/>
        </w:rPr>
        <w:t>Danmarks Lærerforening</w:t>
      </w:r>
      <w:r w:rsidRPr="000D4513">
        <w:rPr>
          <w:szCs w:val="22"/>
        </w:rPr>
        <w:t xml:space="preserve">, </w:t>
      </w:r>
      <w:r w:rsidRPr="000D4513">
        <w:rPr>
          <w:szCs w:val="22"/>
          <w:u w:val="single"/>
        </w:rPr>
        <w:t>KL</w:t>
      </w:r>
      <w:r w:rsidRPr="000D4513">
        <w:rPr>
          <w:szCs w:val="22"/>
        </w:rPr>
        <w:t xml:space="preserve"> og </w:t>
      </w:r>
      <w:r w:rsidRPr="000D4513">
        <w:rPr>
          <w:szCs w:val="22"/>
          <w:u w:val="single"/>
        </w:rPr>
        <w:t>Skolelederforeningen</w:t>
      </w:r>
      <w:r w:rsidR="00F97D20" w:rsidRPr="000D4513">
        <w:rPr>
          <w:szCs w:val="22"/>
        </w:rPr>
        <w:t xml:space="preserve"> </w:t>
      </w:r>
      <w:r w:rsidR="00F97D20" w:rsidRPr="000D4513">
        <w:t xml:space="preserve">er enige i, at trivsel og antimobning er områder, der fortsat skal prioriteres. Det </w:t>
      </w:r>
      <w:r w:rsidR="009611C7" w:rsidRPr="000D4513">
        <w:rPr>
          <w:szCs w:val="22"/>
        </w:rPr>
        <w:t>bemærke</w:t>
      </w:r>
      <w:r w:rsidR="00F97D20" w:rsidRPr="000D4513">
        <w:rPr>
          <w:szCs w:val="22"/>
        </w:rPr>
        <w:t>s</w:t>
      </w:r>
      <w:r w:rsidR="009611C7" w:rsidRPr="000D4513">
        <w:t>, at uklarhed</w:t>
      </w:r>
      <w:r w:rsidR="00F3753F" w:rsidRPr="000D4513">
        <w:t>en</w:t>
      </w:r>
      <w:r w:rsidR="009611C7" w:rsidRPr="000D4513">
        <w:t xml:space="preserve"> om formuler</w:t>
      </w:r>
      <w:r w:rsidR="00F97D20" w:rsidRPr="000D4513">
        <w:t xml:space="preserve">ingen </w:t>
      </w:r>
      <w:r w:rsidR="00234DE1" w:rsidRPr="000D4513">
        <w:t>"</w:t>
      </w:r>
      <w:r w:rsidR="00F97D20" w:rsidRPr="000D4513">
        <w:t>mobning eller lignende</w:t>
      </w:r>
      <w:r w:rsidR="00234DE1" w:rsidRPr="000D4513">
        <w:t>"</w:t>
      </w:r>
      <w:r w:rsidR="009611C7" w:rsidRPr="000D4513">
        <w:t xml:space="preserve"> skaber </w:t>
      </w:r>
      <w:r w:rsidR="00F97D20" w:rsidRPr="000D4513">
        <w:t>et kunstigt behov for at afklare begreber og ændre ram</w:t>
      </w:r>
      <w:r w:rsidR="002B7C7D" w:rsidRPr="000D4513">
        <w:t>merne for indsatserne undervejs</w:t>
      </w:r>
      <w:r w:rsidR="0087387F" w:rsidRPr="000D4513">
        <w:t>.</w:t>
      </w:r>
      <w:r w:rsidR="00E14C43" w:rsidRPr="000D4513">
        <w:t xml:space="preserve"> </w:t>
      </w:r>
      <w:r w:rsidR="00F97D20" w:rsidRPr="000D4513">
        <w:t xml:space="preserve">Der opfordres til en revision af </w:t>
      </w:r>
      <w:r w:rsidR="00F3753F" w:rsidRPr="000D4513">
        <w:t>den samlede ordning med henblik på at sætte</w:t>
      </w:r>
      <w:r w:rsidR="00F97D20" w:rsidRPr="000D4513">
        <w:t xml:space="preserve"> håndteringen af børns oplevede mistrivsel i centrum, </w:t>
      </w:r>
      <w:r w:rsidR="00F3753F" w:rsidRPr="000D4513">
        <w:t>at styrke</w:t>
      </w:r>
      <w:r w:rsidR="00F97D20" w:rsidRPr="000D4513">
        <w:t xml:space="preserve"> de inds</w:t>
      </w:r>
      <w:r w:rsidR="00F3753F" w:rsidRPr="000D4513">
        <w:t>atser, der allerede iværksættes,</w:t>
      </w:r>
      <w:r w:rsidR="00F97D20" w:rsidRPr="000D4513">
        <w:t xml:space="preserve"> og </w:t>
      </w:r>
      <w:r w:rsidR="00F3753F" w:rsidRPr="000D4513">
        <w:t>at understøtte</w:t>
      </w:r>
      <w:r w:rsidR="00F97D20" w:rsidRPr="000D4513">
        <w:t xml:space="preserve"> processer, der giver adgang til seneste viden, samt mulighed for sparring og mediering, når behovet opstår.</w:t>
      </w:r>
    </w:p>
    <w:p w14:paraId="66C927C0" w14:textId="77777777" w:rsidR="007061AD" w:rsidRPr="000D4513" w:rsidRDefault="007061AD" w:rsidP="007061AD">
      <w:pPr>
        <w:pStyle w:val="Brdtekst"/>
        <w:rPr>
          <w:szCs w:val="22"/>
        </w:rPr>
      </w:pPr>
    </w:p>
    <w:p w14:paraId="4E06E0FE" w14:textId="77777777" w:rsidR="007061AD" w:rsidRPr="000D4513" w:rsidRDefault="007061AD" w:rsidP="007061AD">
      <w:pPr>
        <w:pStyle w:val="Brdtekst"/>
        <w:rPr>
          <w:szCs w:val="22"/>
        </w:rPr>
      </w:pPr>
      <w:r w:rsidRPr="000D4513">
        <w:rPr>
          <w:szCs w:val="22"/>
          <w:u w:val="single"/>
        </w:rPr>
        <w:t>Børnerådet</w:t>
      </w:r>
      <w:r w:rsidRPr="000D4513">
        <w:rPr>
          <w:szCs w:val="22"/>
        </w:rPr>
        <w:t xml:space="preserve"> </w:t>
      </w:r>
      <w:r w:rsidR="00F532FC" w:rsidRPr="000D4513">
        <w:rPr>
          <w:szCs w:val="22"/>
        </w:rPr>
        <w:t>opfordrer til</w:t>
      </w:r>
      <w:r w:rsidRPr="000D4513">
        <w:rPr>
          <w:szCs w:val="22"/>
        </w:rPr>
        <w:t xml:space="preserve"> uddannelse og opkvalificering af lærer</w:t>
      </w:r>
      <w:r w:rsidR="00F532FC" w:rsidRPr="000D4513">
        <w:rPr>
          <w:szCs w:val="22"/>
        </w:rPr>
        <w:t>e og skoleledere. Det anbefales</w:t>
      </w:r>
      <w:r w:rsidRPr="000D4513">
        <w:rPr>
          <w:szCs w:val="22"/>
        </w:rPr>
        <w:t>, at e</w:t>
      </w:r>
      <w:r w:rsidR="00F532FC" w:rsidRPr="000D4513">
        <w:rPr>
          <w:szCs w:val="22"/>
        </w:rPr>
        <w:t>lever</w:t>
      </w:r>
      <w:r w:rsidRPr="000D4513">
        <w:rPr>
          <w:szCs w:val="22"/>
        </w:rPr>
        <w:t xml:space="preserve"> inddrages direkte i udformningen af antimobbestrategi </w:t>
      </w:r>
      <w:r w:rsidRPr="000D4513">
        <w:rPr>
          <w:szCs w:val="22"/>
        </w:rPr>
        <w:lastRenderedPageBreak/>
        <w:t>og handleplan</w:t>
      </w:r>
      <w:r w:rsidR="00F532FC" w:rsidRPr="000D4513">
        <w:rPr>
          <w:szCs w:val="22"/>
        </w:rPr>
        <w:t>, og at d</w:t>
      </w:r>
      <w:r w:rsidR="00F13EC7" w:rsidRPr="000D4513">
        <w:rPr>
          <w:szCs w:val="22"/>
        </w:rPr>
        <w:t xml:space="preserve">ette </w:t>
      </w:r>
      <w:r w:rsidR="00F532FC" w:rsidRPr="000D4513">
        <w:rPr>
          <w:szCs w:val="22"/>
        </w:rPr>
        <w:t xml:space="preserve">skrives ind </w:t>
      </w:r>
      <w:r w:rsidR="00F13EC7" w:rsidRPr="000D4513">
        <w:rPr>
          <w:szCs w:val="22"/>
        </w:rPr>
        <w:t>i lovbestemmelserne.</w:t>
      </w:r>
      <w:r w:rsidRPr="000D4513">
        <w:rPr>
          <w:szCs w:val="22"/>
        </w:rPr>
        <w:t xml:space="preserve"> Det ønskes </w:t>
      </w:r>
      <w:r w:rsidR="00F532FC" w:rsidRPr="000D4513">
        <w:rPr>
          <w:szCs w:val="22"/>
        </w:rPr>
        <w:t>indføj</w:t>
      </w:r>
      <w:r w:rsidRPr="000D4513">
        <w:rPr>
          <w:szCs w:val="22"/>
        </w:rPr>
        <w:t>et i</w:t>
      </w:r>
      <w:r w:rsidR="00F532FC" w:rsidRPr="000D4513">
        <w:rPr>
          <w:szCs w:val="22"/>
        </w:rPr>
        <w:t xml:space="preserve"> selve </w:t>
      </w:r>
      <w:r w:rsidRPr="000D4513">
        <w:rPr>
          <w:szCs w:val="22"/>
        </w:rPr>
        <w:t>lovgivningen, hvilke situationer der konkret er omfattet heraf, og hvilke for</w:t>
      </w:r>
      <w:r w:rsidR="00F532FC" w:rsidRPr="000D4513">
        <w:rPr>
          <w:szCs w:val="22"/>
        </w:rPr>
        <w:t>udsætninger der er for at klage</w:t>
      </w:r>
      <w:r w:rsidRPr="000D4513">
        <w:rPr>
          <w:szCs w:val="22"/>
        </w:rPr>
        <w:t>.</w:t>
      </w:r>
    </w:p>
    <w:p w14:paraId="78F24DDB" w14:textId="77777777" w:rsidR="007061AD" w:rsidRPr="000D4513" w:rsidRDefault="007061AD" w:rsidP="007061AD"/>
    <w:p w14:paraId="02A1C5BF" w14:textId="77777777" w:rsidR="007061AD" w:rsidRPr="000D4513" w:rsidRDefault="007061AD" w:rsidP="007061AD">
      <w:r w:rsidRPr="000D4513">
        <w:rPr>
          <w:u w:val="single"/>
        </w:rPr>
        <w:t>Børns Vilkår</w:t>
      </w:r>
      <w:r w:rsidRPr="000D4513">
        <w:t xml:space="preserve"> anbefaler, at der udarbejdes en vejledning til loven, hvoraf det bør fremgå, hvad der ligger i de enkelte definitioner vedr. mobning</w:t>
      </w:r>
      <w:r w:rsidR="00F532FC" w:rsidRPr="000D4513">
        <w:t xml:space="preserve">, </w:t>
      </w:r>
      <w:r w:rsidRPr="000D4513">
        <w:t>handlepligt</w:t>
      </w:r>
      <w:r w:rsidR="00F532FC" w:rsidRPr="000D4513">
        <w:t xml:space="preserve"> m.v</w:t>
      </w:r>
      <w:r w:rsidRPr="000D4513">
        <w:t>. Det fremhæves</w:t>
      </w:r>
      <w:r w:rsidR="00F532FC" w:rsidRPr="000D4513">
        <w:t xml:space="preserve"> hertil</w:t>
      </w:r>
      <w:r w:rsidRPr="000D4513">
        <w:t>, at begrebsuenighed i sig selv kan virke konfliktoptrappende.</w:t>
      </w:r>
    </w:p>
    <w:p w14:paraId="132BD52E" w14:textId="77777777" w:rsidR="007061AD" w:rsidRPr="000D4513" w:rsidRDefault="007061AD" w:rsidP="007061AD"/>
    <w:p w14:paraId="139E004F" w14:textId="77777777" w:rsidR="004F527C" w:rsidRPr="000D4513" w:rsidRDefault="004F527C" w:rsidP="004F527C">
      <w:r w:rsidRPr="000D4513">
        <w:rPr>
          <w:u w:val="single"/>
        </w:rPr>
        <w:t>Daginstitutionernes Lands-Organisation (DLO)</w:t>
      </w:r>
      <w:r w:rsidRPr="000D4513">
        <w:t xml:space="preserve"> bemærker, er der fortsat forestår en stor opgave at løfte, </w:t>
      </w:r>
      <w:r w:rsidR="004C5D14" w:rsidRPr="000D4513">
        <w:t xml:space="preserve">og at </w:t>
      </w:r>
      <w:r w:rsidRPr="000D4513">
        <w:t>Epinions perspektivering og de tiltag</w:t>
      </w:r>
      <w:r w:rsidR="004C5D14" w:rsidRPr="000D4513">
        <w:t>,</w:t>
      </w:r>
      <w:r w:rsidRPr="000D4513">
        <w:t xml:space="preserve"> der lægges op til, synes at skabe et godt afsæt derfor.</w:t>
      </w:r>
    </w:p>
    <w:p w14:paraId="2F7EA2D4" w14:textId="77777777" w:rsidR="004F527C" w:rsidRPr="000D4513" w:rsidRDefault="004F527C" w:rsidP="004F527C"/>
    <w:p w14:paraId="28396779" w14:textId="7395DF46" w:rsidR="002874DB" w:rsidRPr="000D4513" w:rsidRDefault="002874DB" w:rsidP="002874DB">
      <w:r w:rsidRPr="000D4513">
        <w:rPr>
          <w:u w:val="single"/>
        </w:rPr>
        <w:t>Danmarks Private Skoler</w:t>
      </w:r>
      <w:r w:rsidRPr="000D4513">
        <w:t xml:space="preserve"> medgiver, at fokus på strategi og handlingsplaner i nogen grad kan have medført større bevidsthed omkring mobning, men tror snarere på, at der ved hjælp af oplysning og vejledning kan komme det fornødne fokus på løsning af mistrivselsproblematikker. Der udtrykkes bekymring for, at evalueringen vil føre til flere regler og mere bureaukrati. Generelt mener man ikke, at der med lovændringerne fra 2017 er fundet det rigtige værktøj</w:t>
      </w:r>
      <w:r w:rsidR="004C5D14" w:rsidRPr="000D4513">
        <w:t>. Opfattelsen er</w:t>
      </w:r>
      <w:r w:rsidR="00490694" w:rsidRPr="000D4513">
        <w:t>,</w:t>
      </w:r>
      <w:r w:rsidR="004C5D14" w:rsidRPr="000D4513">
        <w:t xml:space="preserve"> at der snarere er sket en</w:t>
      </w:r>
      <w:r w:rsidR="004C5D14" w:rsidRPr="000D4513">
        <w:rPr>
          <w:szCs w:val="22"/>
        </w:rPr>
        <w:t xml:space="preserve"> omkalfatring af</w:t>
      </w:r>
      <w:r w:rsidRPr="000D4513">
        <w:rPr>
          <w:szCs w:val="22"/>
        </w:rPr>
        <w:t xml:space="preserve"> synet på det tra</w:t>
      </w:r>
      <w:r w:rsidR="004C5D14" w:rsidRPr="000D4513">
        <w:rPr>
          <w:szCs w:val="22"/>
        </w:rPr>
        <w:t>ditionelle skole</w:t>
      </w:r>
      <w:r w:rsidR="00010EEA">
        <w:rPr>
          <w:szCs w:val="22"/>
        </w:rPr>
        <w:t>-</w:t>
      </w:r>
      <w:r w:rsidR="004C5D14" w:rsidRPr="000D4513">
        <w:rPr>
          <w:szCs w:val="22"/>
        </w:rPr>
        <w:t>hjem</w:t>
      </w:r>
      <w:r w:rsidR="00010EEA">
        <w:rPr>
          <w:szCs w:val="22"/>
        </w:rPr>
        <w:t>-</w:t>
      </w:r>
      <w:r w:rsidR="004C5D14" w:rsidRPr="000D4513">
        <w:rPr>
          <w:szCs w:val="22"/>
        </w:rPr>
        <w:t xml:space="preserve">samarbejde, </w:t>
      </w:r>
      <w:r w:rsidRPr="000D4513">
        <w:rPr>
          <w:szCs w:val="22"/>
        </w:rPr>
        <w:t xml:space="preserve">og </w:t>
      </w:r>
      <w:r w:rsidR="004C5D14" w:rsidRPr="000D4513">
        <w:rPr>
          <w:szCs w:val="22"/>
        </w:rPr>
        <w:t xml:space="preserve">at </w:t>
      </w:r>
      <w:r w:rsidRPr="000D4513">
        <w:rPr>
          <w:szCs w:val="22"/>
        </w:rPr>
        <w:t xml:space="preserve">skole og hjem </w:t>
      </w:r>
      <w:r w:rsidR="004C5D14" w:rsidRPr="000D4513">
        <w:rPr>
          <w:szCs w:val="22"/>
        </w:rPr>
        <w:t xml:space="preserve">er blevet gjort </w:t>
      </w:r>
      <w:r w:rsidRPr="000D4513">
        <w:rPr>
          <w:szCs w:val="22"/>
        </w:rPr>
        <w:t xml:space="preserve">til parter i en sag og dermed </w:t>
      </w:r>
      <w:r w:rsidR="004C5D14" w:rsidRPr="000D4513">
        <w:rPr>
          <w:szCs w:val="22"/>
        </w:rPr>
        <w:t xml:space="preserve">er kommet </w:t>
      </w:r>
      <w:r w:rsidRPr="000D4513">
        <w:rPr>
          <w:szCs w:val="22"/>
        </w:rPr>
        <w:t>i et konfliktoptrappende modsætningsforhold til hinanden</w:t>
      </w:r>
      <w:r w:rsidRPr="000D4513">
        <w:t>.</w:t>
      </w:r>
    </w:p>
    <w:p w14:paraId="3D43593C" w14:textId="77777777" w:rsidR="002874DB" w:rsidRPr="000D4513" w:rsidRDefault="002874DB" w:rsidP="007061AD"/>
    <w:p w14:paraId="5BC32930" w14:textId="3C0F885C" w:rsidR="0018686A" w:rsidRPr="000D4513" w:rsidRDefault="0018686A" w:rsidP="0018686A">
      <w:pPr>
        <w:pStyle w:val="Default"/>
        <w:rPr>
          <w:rFonts w:ascii="Garamond" w:hAnsi="Garamond" w:cstheme="minorBidi"/>
          <w:color w:val="auto"/>
        </w:rPr>
      </w:pPr>
      <w:r w:rsidRPr="000D4513">
        <w:rPr>
          <w:rFonts w:ascii="Garamond" w:hAnsi="Garamond" w:cstheme="minorHAnsi"/>
          <w:color w:val="auto"/>
          <w:szCs w:val="22"/>
          <w:u w:val="single"/>
        </w:rPr>
        <w:t>Danske Erhvervsskoler og -Gymnasier (DEG)</w:t>
      </w:r>
      <w:r w:rsidRPr="000D4513">
        <w:rPr>
          <w:rFonts w:ascii="Calibri" w:hAnsi="Calibri" w:cs="Calibri"/>
          <w:sz w:val="24"/>
          <w:szCs w:val="24"/>
        </w:rPr>
        <w:t xml:space="preserve"> </w:t>
      </w:r>
      <w:r w:rsidRPr="000D4513">
        <w:rPr>
          <w:rFonts w:ascii="Garamond" w:hAnsi="Garamond" w:cstheme="minorBidi"/>
          <w:color w:val="auto"/>
          <w:szCs w:val="22"/>
        </w:rPr>
        <w:t>finder det vigtigt</w:t>
      </w:r>
      <w:r w:rsidR="004C5D14" w:rsidRPr="000D4513">
        <w:rPr>
          <w:rFonts w:ascii="Garamond" w:hAnsi="Garamond" w:cstheme="minorBidi"/>
          <w:color w:val="auto"/>
          <w:szCs w:val="22"/>
        </w:rPr>
        <w:t xml:space="preserve">, </w:t>
      </w:r>
      <w:r w:rsidRPr="000D4513">
        <w:rPr>
          <w:rFonts w:ascii="Garamond" w:hAnsi="Garamond" w:cstheme="minorBidi"/>
          <w:color w:val="auto"/>
          <w:szCs w:val="22"/>
        </w:rPr>
        <w:t xml:space="preserve">at </w:t>
      </w:r>
      <w:r w:rsidR="004C5D14" w:rsidRPr="000D4513">
        <w:rPr>
          <w:rFonts w:ascii="Garamond" w:hAnsi="Garamond" w:cstheme="minorBidi"/>
          <w:color w:val="auto"/>
          <w:szCs w:val="22"/>
        </w:rPr>
        <w:t xml:space="preserve">der </w:t>
      </w:r>
      <w:r w:rsidRPr="000D4513">
        <w:rPr>
          <w:rFonts w:ascii="Garamond" w:hAnsi="Garamond" w:cstheme="minorBidi"/>
          <w:color w:val="auto"/>
          <w:szCs w:val="22"/>
        </w:rPr>
        <w:t>sætte</w:t>
      </w:r>
      <w:r w:rsidR="004C5D14" w:rsidRPr="000D4513">
        <w:rPr>
          <w:rFonts w:ascii="Garamond" w:hAnsi="Garamond" w:cstheme="minorBidi"/>
          <w:color w:val="auto"/>
          <w:szCs w:val="22"/>
        </w:rPr>
        <w:t>s</w:t>
      </w:r>
      <w:r w:rsidRPr="000D4513">
        <w:rPr>
          <w:rFonts w:ascii="Garamond" w:hAnsi="Garamond" w:cstheme="minorBidi"/>
          <w:color w:val="auto"/>
          <w:szCs w:val="22"/>
        </w:rPr>
        <w:t xml:space="preserve"> fokus på mobning</w:t>
      </w:r>
      <w:r w:rsidR="00E20C9E">
        <w:rPr>
          <w:rFonts w:ascii="Garamond" w:hAnsi="Garamond" w:cstheme="minorBidi"/>
          <w:color w:val="auto"/>
          <w:szCs w:val="22"/>
        </w:rPr>
        <w:t>,</w:t>
      </w:r>
      <w:r w:rsidRPr="000D4513">
        <w:rPr>
          <w:rFonts w:ascii="Garamond" w:hAnsi="Garamond" w:cstheme="minorBidi"/>
          <w:color w:val="auto"/>
          <w:szCs w:val="22"/>
        </w:rPr>
        <w:t xml:space="preserve"> og ser et behov for mere oplysning og vide</w:t>
      </w:r>
      <w:r w:rsidRPr="000D4513">
        <w:rPr>
          <w:rFonts w:ascii="Garamond" w:hAnsi="Garamond" w:cstheme="minorBidi"/>
          <w:color w:val="auto"/>
        </w:rPr>
        <w:t>n om mobning og klageinstansen. Det ses gerne, at skolerne får mulighed for mere inspiration og rådgivning samt mulighed for en stærkere dialog med DCUM. Dette kunne med fordel suppleres med en rådgivningsmulighed rettet direkte mod de unge på ungdomsuddannelserne.</w:t>
      </w:r>
    </w:p>
    <w:p w14:paraId="691000D5" w14:textId="77777777" w:rsidR="0018686A" w:rsidRPr="000D4513" w:rsidRDefault="0018686A" w:rsidP="0018686A">
      <w:pPr>
        <w:pStyle w:val="Default"/>
        <w:rPr>
          <w:rFonts w:ascii="Calibri" w:hAnsi="Calibri" w:cs="Calibri"/>
          <w:sz w:val="24"/>
          <w:szCs w:val="24"/>
        </w:rPr>
      </w:pPr>
    </w:p>
    <w:p w14:paraId="25FCE8E3" w14:textId="5A819502" w:rsidR="0045474B" w:rsidRPr="000D4513" w:rsidRDefault="00C90539" w:rsidP="00C90539">
      <w:r w:rsidRPr="000D4513">
        <w:rPr>
          <w:u w:val="single"/>
        </w:rPr>
        <w:t>Danske Skoleelever</w:t>
      </w:r>
      <w:r w:rsidRPr="000D4513">
        <w:t xml:space="preserve"> finder, at der hos DCUM bør placeres et klart ansvar for implementering og udbredelse af kendskabet til de rettigheder loven fører med sig, herunder for</w:t>
      </w:r>
      <w:r w:rsidR="00E20C9E">
        <w:t>,</w:t>
      </w:r>
      <w:r w:rsidRPr="000D4513">
        <w:t xml:space="preserve"> at klageinstansen og de indledende handlepligter vil få den tiltænkte effekt.</w:t>
      </w:r>
      <w:r w:rsidR="0045474B" w:rsidRPr="000D4513">
        <w:t xml:space="preserve"> Der peges endvidere på, at formuleringen </w:t>
      </w:r>
      <w:r w:rsidR="00234DE1" w:rsidRPr="000D4513">
        <w:t>"</w:t>
      </w:r>
      <w:r w:rsidR="0045474B" w:rsidRPr="000D4513">
        <w:t>mobning eller lignende</w:t>
      </w:r>
      <w:r w:rsidR="00234DE1" w:rsidRPr="000D4513">
        <w:t>"</w:t>
      </w:r>
      <w:r w:rsidR="0045474B" w:rsidRPr="000D4513">
        <w:t xml:space="preserve"> giver anledning til tvivlsspørgsmål til skade for en god dialog mellem skolen og hjemmet. Der opfordres i denne henseende til at finde en mere utvetydig formulering. Derudover se</w:t>
      </w:r>
      <w:r w:rsidR="00246D86" w:rsidRPr="000D4513">
        <w:t>s</w:t>
      </w:r>
      <w:r w:rsidR="0045474B" w:rsidRPr="000D4513">
        <w:t xml:space="preserve"> behov for at fokusere på et fællesskabsorienteret mobbesyn, der søger at løse mobningen som en negativ social dynamik i grupper a</w:t>
      </w:r>
      <w:r w:rsidR="009D7F0D" w:rsidRPr="000D4513">
        <w:t>f elever</w:t>
      </w:r>
      <w:r w:rsidR="0045474B" w:rsidRPr="000D4513">
        <w:t>.</w:t>
      </w:r>
    </w:p>
    <w:p w14:paraId="727F0974" w14:textId="77777777" w:rsidR="00DB3654" w:rsidRPr="000D4513" w:rsidRDefault="00DB3654" w:rsidP="00C90539"/>
    <w:p w14:paraId="0E9AA1CD" w14:textId="57A36F3F" w:rsidR="00636CF5" w:rsidRPr="000D4513" w:rsidRDefault="00DB3654" w:rsidP="00636CF5">
      <w:r w:rsidRPr="000D4513">
        <w:rPr>
          <w:u w:val="single"/>
        </w:rPr>
        <w:t>Danske Gymnasieelevers Sammenslutning</w:t>
      </w:r>
      <w:r w:rsidRPr="000D4513">
        <w:t xml:space="preserve"> og </w:t>
      </w:r>
      <w:r w:rsidRPr="000D4513">
        <w:rPr>
          <w:u w:val="single"/>
        </w:rPr>
        <w:t>Landssammenslutningen af Handelsskoleelever</w:t>
      </w:r>
      <w:r w:rsidR="00636CF5" w:rsidRPr="000D4513">
        <w:t xml:space="preserve"> ser behov for et styrket mobbesyn således, at den krænkede og dennes forældre </w:t>
      </w:r>
      <w:r w:rsidR="00246D86" w:rsidRPr="000D4513">
        <w:t xml:space="preserve">får mulighed for at </w:t>
      </w:r>
      <w:r w:rsidR="00636CF5" w:rsidRPr="000D4513">
        <w:t xml:space="preserve">handle på baggrund af egen oplevelse. Forældre og elever skal i højere grad have ret til at aktivere </w:t>
      </w:r>
      <w:r w:rsidR="00246D86" w:rsidRPr="000D4513">
        <w:t>handlings</w:t>
      </w:r>
      <w:r w:rsidR="00636CF5" w:rsidRPr="000D4513">
        <w:t>planer, og skolens vurdering af en mobbesag bør vurderes af et udvalg frem for kun institutionslederen og potentielt skoleforvaltningen. Det fremhæves, at elever altid skal inddrages i områder, der vedrører dem.</w:t>
      </w:r>
      <w:r w:rsidR="00875C0B" w:rsidRPr="000D4513">
        <w:t xml:space="preserve"> Der peges </w:t>
      </w:r>
      <w:r w:rsidR="00246D86" w:rsidRPr="000D4513">
        <w:t xml:space="preserve">konkret </w:t>
      </w:r>
      <w:r w:rsidR="00875C0B" w:rsidRPr="000D4513">
        <w:t xml:space="preserve">på, at bl.a. følgende kan indgå i en fremtidig </w:t>
      </w:r>
      <w:r w:rsidR="00234DE1" w:rsidRPr="000D4513">
        <w:t>"</w:t>
      </w:r>
      <w:r w:rsidR="00875C0B" w:rsidRPr="000D4513">
        <w:t>værkstøjskasse</w:t>
      </w:r>
      <w:r w:rsidR="00234DE1" w:rsidRPr="000D4513">
        <w:t>"</w:t>
      </w:r>
      <w:r w:rsidR="00875C0B" w:rsidRPr="000D4513">
        <w:t>:</w:t>
      </w:r>
    </w:p>
    <w:p w14:paraId="5D3DF649" w14:textId="77777777" w:rsidR="00875C0B" w:rsidRPr="000D4513" w:rsidRDefault="00875C0B" w:rsidP="00875C0B">
      <w:pPr>
        <w:pStyle w:val="Opstilling-punkttegn"/>
      </w:pPr>
      <w:r w:rsidRPr="000D4513">
        <w:t>Mener elev eller forælder, at der er tale om mobning, skal dette noteres af uddannelsesstedet.</w:t>
      </w:r>
    </w:p>
    <w:p w14:paraId="2D1E2CEE" w14:textId="77777777" w:rsidR="00875C0B" w:rsidRPr="000D4513" w:rsidRDefault="00875C0B" w:rsidP="00875C0B">
      <w:pPr>
        <w:pStyle w:val="Opstilling-punkttegn"/>
      </w:pPr>
      <w:r w:rsidRPr="000D4513">
        <w:t xml:space="preserve">Senest 10 dage derefter skal uddannelsesstedet fremlægge en handlingsplan eller skriftligt afvise mobning og samtidig orientere parterne om rettigheder og klageadgang. </w:t>
      </w:r>
    </w:p>
    <w:p w14:paraId="79AE7B34" w14:textId="33EFB69A" w:rsidR="00875C0B" w:rsidRPr="000D4513" w:rsidRDefault="00875C0B" w:rsidP="00875C0B">
      <w:pPr>
        <w:pStyle w:val="Opstilling-punkttegn"/>
      </w:pPr>
      <w:r w:rsidRPr="000D4513">
        <w:t>Efter 10 dage kan der klages til DCUM både ved uenighed i afgørelsen</w:t>
      </w:r>
      <w:r w:rsidR="00BA7A45">
        <w:t>,</w:t>
      </w:r>
      <w:r w:rsidRPr="000D4513">
        <w:t xml:space="preserve"> </w:t>
      </w:r>
      <w:r w:rsidR="00E20C9E">
        <w:t>og</w:t>
      </w:r>
      <w:r w:rsidRPr="000D4513">
        <w:t xml:space="preserve"> hvis uddannelsesstedet ikke har foretaget ovenstående. </w:t>
      </w:r>
    </w:p>
    <w:p w14:paraId="35B96471" w14:textId="77777777" w:rsidR="00875C0B" w:rsidRPr="000D4513" w:rsidRDefault="00875C0B" w:rsidP="00875C0B">
      <w:pPr>
        <w:pStyle w:val="Opstilling-punkttegn"/>
      </w:pPr>
      <w:r w:rsidRPr="000D4513">
        <w:t>DCUM behandler klagen inden for 10 dage efter modtagelsen og giver klager medhold, hvorefter uddannelsesstedet inden 5 dage fremlægger en handlingsplan, eller afviser klagen.</w:t>
      </w:r>
    </w:p>
    <w:p w14:paraId="244F01EB" w14:textId="0FFC518D" w:rsidR="00875C0B" w:rsidRPr="000D4513" w:rsidRDefault="00875C0B" w:rsidP="00875C0B">
      <w:pPr>
        <w:pStyle w:val="Opstilling-punkttegn"/>
      </w:pPr>
      <w:r w:rsidRPr="000D4513">
        <w:lastRenderedPageBreak/>
        <w:t xml:space="preserve">Uddannelsesstedet sanktioneres for ikke </w:t>
      </w:r>
      <w:r w:rsidR="006B2D7C" w:rsidRPr="000D4513">
        <w:t xml:space="preserve">at </w:t>
      </w:r>
      <w:r w:rsidR="00BA7A45">
        <w:t xml:space="preserve">efterleve </w:t>
      </w:r>
      <w:r w:rsidR="006B2D7C" w:rsidRPr="000D4513">
        <w:t>DCUM</w:t>
      </w:r>
      <w:r w:rsidRPr="000D4513">
        <w:t xml:space="preserve">s afgørelse, fx ved skærpet tilsyn eller en forklaring fra bestyrelsen eller lign. </w:t>
      </w:r>
    </w:p>
    <w:p w14:paraId="06095710" w14:textId="77777777" w:rsidR="00875C0B" w:rsidRPr="000D4513" w:rsidRDefault="00875C0B" w:rsidP="00875C0B">
      <w:pPr>
        <w:pStyle w:val="Opstilling-punkttegn"/>
      </w:pPr>
      <w:r w:rsidRPr="000D4513">
        <w:t>STUK, DCUM og uddannelsesstedet skal offentliggøre afgørelser om overtrædelse af loven på deres hjemmeside.</w:t>
      </w:r>
    </w:p>
    <w:p w14:paraId="2F5DA741" w14:textId="77777777" w:rsidR="00DB3654" w:rsidRPr="000D4513" w:rsidRDefault="00DB3654" w:rsidP="00DB3654"/>
    <w:p w14:paraId="36E6230F" w14:textId="0D563CD9" w:rsidR="00DB3654" w:rsidRPr="000D4513" w:rsidRDefault="00DB3654" w:rsidP="00DB3654">
      <w:r w:rsidRPr="000D4513">
        <w:rPr>
          <w:u w:val="single"/>
        </w:rPr>
        <w:t>Danske SOSU-skoler og Danske SOSU-skoler</w:t>
      </w:r>
      <w:r w:rsidR="00BA7A45">
        <w:rPr>
          <w:u w:val="single"/>
        </w:rPr>
        <w:t xml:space="preserve"> - Bestyrelserne</w:t>
      </w:r>
      <w:r w:rsidRPr="000D4513">
        <w:t xml:space="preserve"> finder overordnet, at de lovgivningsmæssige rammer fungerer i deres nuværende form, men at der kan være et behov for lokalt at styrke indsatsen.</w:t>
      </w:r>
    </w:p>
    <w:p w14:paraId="35DBC400" w14:textId="77777777" w:rsidR="005C1385" w:rsidRPr="000D4513" w:rsidRDefault="005C1385" w:rsidP="007061AD"/>
    <w:p w14:paraId="4AFB0DC4" w14:textId="79B15464" w:rsidR="00C44939" w:rsidRPr="000D4513" w:rsidRDefault="00C44939" w:rsidP="007061AD">
      <w:r w:rsidRPr="000D4513">
        <w:rPr>
          <w:u w:val="single"/>
        </w:rPr>
        <w:t>DCUM</w:t>
      </w:r>
      <w:r w:rsidRPr="000D4513">
        <w:t xml:space="preserve"> finder med henvisning til den anførte tvivl om forståelsen af </w:t>
      </w:r>
      <w:r w:rsidR="00234DE1" w:rsidRPr="000D4513">
        <w:t>"</w:t>
      </w:r>
      <w:r w:rsidRPr="000D4513">
        <w:t>mobning eller lignende</w:t>
      </w:r>
      <w:r w:rsidR="00234DE1" w:rsidRPr="000D4513">
        <w:t>"</w:t>
      </w:r>
      <w:r w:rsidRPr="000D4513">
        <w:t xml:space="preserve"> behov for at få afklaret, hvornår loven skal anvendes. Endvidere ses et behov for et større fokus på et mobbesyn, der tager udgangspunkt i fællesskabet. </w:t>
      </w:r>
      <w:r w:rsidR="0034396D" w:rsidRPr="000D4513">
        <w:t>Endelig</w:t>
      </w:r>
      <w:r w:rsidRPr="000D4513">
        <w:t xml:space="preserve"> </w:t>
      </w:r>
      <w:r w:rsidR="006B2D7C" w:rsidRPr="000D4513">
        <w:t>et behov for viden</w:t>
      </w:r>
      <w:r w:rsidRPr="000D4513">
        <w:t>løft og kvalificering af både fagpersoner, forældre og elever i forhold til at arbejde systematisk med håndtering og forebyggelse af mobning.</w:t>
      </w:r>
    </w:p>
    <w:p w14:paraId="1C4BE2E9" w14:textId="7A17949A" w:rsidR="00C44939" w:rsidRPr="000D4513" w:rsidRDefault="00C44939" w:rsidP="007061AD"/>
    <w:p w14:paraId="75ACD7FF" w14:textId="327EA06B" w:rsidR="00970DA4" w:rsidRPr="000D4513" w:rsidRDefault="00970DA4" w:rsidP="007061AD">
      <w:pPr>
        <w:rPr>
          <w:szCs w:val="22"/>
        </w:rPr>
      </w:pPr>
      <w:r w:rsidRPr="000D4513">
        <w:rPr>
          <w:szCs w:val="22"/>
          <w:u w:val="single"/>
        </w:rPr>
        <w:t>FFFP (Foreningen for forældre til elever i Fri- og Privatskoler)</w:t>
      </w:r>
      <w:r w:rsidRPr="000D4513">
        <w:rPr>
          <w:szCs w:val="22"/>
        </w:rPr>
        <w:t xml:space="preserve"> finder, at klager og en valgt bisidder skal deltage i udformningen af handlingsplanen.</w:t>
      </w:r>
    </w:p>
    <w:p w14:paraId="206ABCC8" w14:textId="77777777" w:rsidR="00970DA4" w:rsidRPr="000D4513" w:rsidRDefault="00970DA4" w:rsidP="007061AD"/>
    <w:p w14:paraId="264CBBCB" w14:textId="77777777" w:rsidR="00C44939" w:rsidRPr="000D4513" w:rsidRDefault="001D3460" w:rsidP="007061AD">
      <w:r w:rsidRPr="000D4513">
        <w:rPr>
          <w:u w:val="single"/>
        </w:rPr>
        <w:t>Forældrenes Landsorganisation (FOLA)</w:t>
      </w:r>
      <w:r w:rsidRPr="000D4513">
        <w:t xml:space="preserve"> finder Epinion evalueringens konklusioner </w:t>
      </w:r>
      <w:r w:rsidR="00246D86" w:rsidRPr="000D4513">
        <w:t>vedrørende</w:t>
      </w:r>
      <w:r w:rsidRPr="000D4513">
        <w:t xml:space="preserve"> forældresamarbejde bekymrende og fremhæver, at et barn eller en ung, der oplever at blive mobbet, aldrig må mødes af en mistænkeliggørelse eller en tvist om definitioner af begreber. Det anses for afgørende, at alle børn og unge og deres forældre, som henvender sig, tages seriøst og møder handling, som på alle måder søger at komme barnet og den unges mistrivsel til livs.</w:t>
      </w:r>
    </w:p>
    <w:p w14:paraId="68CD2898" w14:textId="77777777" w:rsidR="001D3460" w:rsidRPr="000D4513" w:rsidRDefault="001D3460" w:rsidP="007061AD"/>
    <w:p w14:paraId="219B44DC" w14:textId="0E3D0F4F" w:rsidR="004F527C" w:rsidRPr="000D4513" w:rsidRDefault="004F527C" w:rsidP="007061AD">
      <w:r w:rsidRPr="000D4513">
        <w:rPr>
          <w:u w:val="single"/>
        </w:rPr>
        <w:t>Frie Skolers Lærerforening</w:t>
      </w:r>
      <w:r w:rsidRPr="000D4513">
        <w:t xml:space="preserve"> er grundlæggende skeptiske over for, hvorvidt det nuværende organisatoriske </w:t>
      </w:r>
      <w:r w:rsidRPr="000D4513">
        <w:rPr>
          <w:i/>
        </w:rPr>
        <w:t>set</w:t>
      </w:r>
      <w:r w:rsidR="006B2D7C" w:rsidRPr="000D4513">
        <w:rPr>
          <w:i/>
        </w:rPr>
        <w:t>-</w:t>
      </w:r>
      <w:r w:rsidRPr="000D4513">
        <w:rPr>
          <w:i/>
        </w:rPr>
        <w:t>up</w:t>
      </w:r>
      <w:r w:rsidRPr="000D4513">
        <w:t xml:space="preserve"> med lange sagsbehandlingstider til følge er det bedst mulige til at sikre et godt undervisningsmiljø, som kan håndtere udfordringer med mobning. Det fremhæves, at Epinions evaluering dokumenterer, hvordan forældre og skole bruger lang tid på at diskutere, hvorvidt der definitorisk er tale om mobning i stedet for at fokusere på, hvad der kan gøres fremadrettet. Det anbefales at simplificere </w:t>
      </w:r>
      <w:r w:rsidR="00BA7A45">
        <w:t>d</w:t>
      </w:r>
      <w:r w:rsidR="00246D86" w:rsidRPr="000D4513">
        <w:t>en samlede ordning med henblik på at sikre</w:t>
      </w:r>
      <w:r w:rsidRPr="000D4513">
        <w:t xml:space="preserve"> en hurtigere sagsrejse til gavn for tilliden mellem skole og forældre.</w:t>
      </w:r>
    </w:p>
    <w:p w14:paraId="5CAD6624" w14:textId="77777777" w:rsidR="004F527C" w:rsidRPr="000D4513" w:rsidRDefault="004F527C" w:rsidP="007061AD"/>
    <w:p w14:paraId="03345217" w14:textId="49DAC872" w:rsidR="00356DCA" w:rsidRPr="000D4513" w:rsidRDefault="00356DCA" w:rsidP="007061AD">
      <w:r w:rsidRPr="000D4513">
        <w:rPr>
          <w:u w:val="single"/>
        </w:rPr>
        <w:t>Efterskolerne</w:t>
      </w:r>
      <w:r w:rsidRPr="000D4513">
        <w:t xml:space="preserve"> bemærker, at man generelt har s</w:t>
      </w:r>
      <w:r w:rsidR="006B2D7C" w:rsidRPr="000D4513">
        <w:t>tor glæde af materialet på DCUM</w:t>
      </w:r>
      <w:r w:rsidRPr="000D4513">
        <w:t xml:space="preserve">s hjemmeside med vejledning om udarbejdelse af en antimobbestrategi, herunder en strategi mod digital mobning, handlingsplaner og klageforløb og ikke mindst den meget nuancerede gennemgang af mobning ud fra det nye fællesskabsorienterede mobbesyn. Det noteres endvidere, at der fortsat er efterskoler, der ikke kender til lovkravet om en antimobbestrategi, klageforløb og klageadgang til DCUM. Det bemærkes hertil, at der vil blive fulgt op på det manglende kendskab til lovkrav i foreningen, men at den manglende viden om mobning afspejler et behov for mere opsøgende oplysning på området. </w:t>
      </w:r>
    </w:p>
    <w:p w14:paraId="093DFC20" w14:textId="77777777" w:rsidR="009D7F0D" w:rsidRPr="000D4513" w:rsidRDefault="009D7F0D" w:rsidP="00606172"/>
    <w:p w14:paraId="29FDFAD8" w14:textId="77777777" w:rsidR="00636CF5" w:rsidRPr="000D4513" w:rsidRDefault="00636CF5" w:rsidP="00636CF5">
      <w:r w:rsidRPr="000D4513">
        <w:rPr>
          <w:u w:val="single"/>
        </w:rPr>
        <w:t>Landsorganisationen for sociale tilbud (LOS)</w:t>
      </w:r>
      <w:r w:rsidRPr="000D4513">
        <w:t xml:space="preserve"> anser indsatsen mod mobning som et yderst vigtigt område, hvor der er brug for endnu større fokus. Der anbefales på den baggrund en styrket indsats på området fremadrettet. </w:t>
      </w:r>
    </w:p>
    <w:p w14:paraId="0F8D092E" w14:textId="77777777" w:rsidR="00636CF5" w:rsidRPr="000D4513" w:rsidRDefault="00636CF5" w:rsidP="00606172"/>
    <w:p w14:paraId="30A5D056" w14:textId="7D5A28E8" w:rsidR="002B3517" w:rsidRPr="000D4513" w:rsidRDefault="00606172" w:rsidP="00FF6615">
      <w:pPr>
        <w:autoSpaceDE w:val="0"/>
        <w:autoSpaceDN w:val="0"/>
        <w:adjustRightInd w:val="0"/>
      </w:pPr>
      <w:r w:rsidRPr="000D4513">
        <w:rPr>
          <w:u w:val="single"/>
        </w:rPr>
        <w:t>Red Barnet</w:t>
      </w:r>
      <w:r w:rsidRPr="000D4513">
        <w:t xml:space="preserve"> </w:t>
      </w:r>
      <w:r w:rsidR="00FF6615" w:rsidRPr="000D4513">
        <w:t>foreslår, at definitionen ‘mobning eller lignende' beskrives nærmere i vejledende materiale, som bør gøres tilgængeligt på alle uddannelsesinstitutioner, der er omfattet af bestemmelsen. Det anbefales, at antimobbestrategier udarbejdes med inddragelse af repræsentanter fra eleverne, forældrene, personalet (både lærere og skolepædagoger) og ledelsen, og at det gøres obligatorisk at indskrive lovbestemmelserne om handlepligt samt rette</w:t>
      </w:r>
      <w:r w:rsidR="00E20C9E">
        <w:t>n</w:t>
      </w:r>
      <w:r w:rsidR="00FF6615" w:rsidRPr="000D4513">
        <w:t xml:space="preserve"> til at klage i strategierne. Det </w:t>
      </w:r>
      <w:r w:rsidR="002B3517" w:rsidRPr="000D4513">
        <w:t>foreslå</w:t>
      </w:r>
      <w:r w:rsidR="00FF6615" w:rsidRPr="000D4513">
        <w:t>s</w:t>
      </w:r>
      <w:r w:rsidR="002B3517" w:rsidRPr="000D4513">
        <w:t>, at der fra centralt hold sættes ressourcer af til, at skolerne gennemfører læringsforløb</w:t>
      </w:r>
      <w:r w:rsidR="00FF6615" w:rsidRPr="000D4513">
        <w:t xml:space="preserve"> </w:t>
      </w:r>
      <w:r w:rsidR="002B3517" w:rsidRPr="000D4513">
        <w:t>til forebyggelse af mobning.</w:t>
      </w:r>
      <w:r w:rsidR="00FF6615" w:rsidRPr="000D4513">
        <w:t xml:space="preserve"> Der peges endvidere på behov </w:t>
      </w:r>
      <w:r w:rsidR="00FF6615" w:rsidRPr="000D4513">
        <w:lastRenderedPageBreak/>
        <w:t>for et videns- og kompetenceløft til de skoleledere, kommunalbestyrelser og fagfolk, som har ansvar for strategierne.</w:t>
      </w:r>
    </w:p>
    <w:p w14:paraId="64365249" w14:textId="7C828D3B" w:rsidR="00606172" w:rsidRPr="000D4513" w:rsidRDefault="00606172" w:rsidP="009D7F0D">
      <w:pPr>
        <w:autoSpaceDE w:val="0"/>
        <w:autoSpaceDN w:val="0"/>
        <w:adjustRightInd w:val="0"/>
      </w:pPr>
    </w:p>
    <w:p w14:paraId="5102DB36" w14:textId="3369010B" w:rsidR="00970DA4" w:rsidRPr="000D4513" w:rsidRDefault="00970DA4" w:rsidP="00970DA4">
      <w:pPr>
        <w:rPr>
          <w:rFonts w:cstheme="minorHAnsi"/>
          <w:szCs w:val="22"/>
        </w:rPr>
      </w:pPr>
      <w:r w:rsidRPr="000D4513">
        <w:rPr>
          <w:rFonts w:cstheme="minorHAnsi"/>
          <w:szCs w:val="22"/>
          <w:u w:val="single"/>
        </w:rPr>
        <w:t>Rådet for de Grundlæggende Erhvervsrettede Uddannelser (REU)</w:t>
      </w:r>
      <w:r w:rsidRPr="000D4513">
        <w:rPr>
          <w:rFonts w:cstheme="minorHAnsi"/>
          <w:szCs w:val="22"/>
        </w:rPr>
        <w:t xml:space="preserve"> finder det afgørende, hvordan man på skolerne arbejder med mobning, inklusion m.v. og finder det i den sammenhæng relevant at overveje, om der er behov for yderligere vejledning om de eksisterende bestemmelser.</w:t>
      </w:r>
    </w:p>
    <w:p w14:paraId="37710A6B" w14:textId="77777777" w:rsidR="00970DA4" w:rsidRPr="000D4513" w:rsidRDefault="00970DA4" w:rsidP="009D7F0D">
      <w:pPr>
        <w:autoSpaceDE w:val="0"/>
        <w:autoSpaceDN w:val="0"/>
        <w:adjustRightInd w:val="0"/>
      </w:pPr>
    </w:p>
    <w:p w14:paraId="12FFB751" w14:textId="0C41380F" w:rsidR="009D7F0D" w:rsidRPr="000D4513" w:rsidRDefault="009D7F0D" w:rsidP="007F0FE0">
      <w:r w:rsidRPr="000D4513">
        <w:rPr>
          <w:u w:val="single"/>
        </w:rPr>
        <w:t>Skole og Forældre</w:t>
      </w:r>
      <w:r w:rsidRPr="000D4513">
        <w:t xml:space="preserve"> anbefaler, at der stilles krav til indholdet af antimobbestrategien, så den indeholder et vist minimum a</w:t>
      </w:r>
      <w:r w:rsidR="00E20C9E">
        <w:t>f</w:t>
      </w:r>
      <w:r w:rsidRPr="000D4513">
        <w:t xml:space="preserve"> elementer. Samtidig bør antimobbestrategien opdateres med passende mellemrum, for eksempel mindst hvert tredje år. Kendskabet til antimobbestrategien blandt elever og forældre og i personalegruppen skal generelt styrkes. Samtidig bør disse øgede krav og anbefalinger følges op med styrket kompetenceudvikling af skolebestyrelserne og skolens øvrige ledelse for at sikre en reel effekt. </w:t>
      </w:r>
      <w:r w:rsidR="007F0FE0" w:rsidRPr="000D4513">
        <w:t xml:space="preserve">Der anbefales en </w:t>
      </w:r>
      <w:r w:rsidRPr="000D4513">
        <w:t xml:space="preserve">skærpelse </w:t>
      </w:r>
      <w:r w:rsidR="007F0FE0" w:rsidRPr="000D4513">
        <w:t>og</w:t>
      </w:r>
      <w:r w:rsidRPr="000D4513">
        <w:t xml:space="preserve"> en præcisering af</w:t>
      </w:r>
      <w:r w:rsidR="007F0FE0" w:rsidRPr="000D4513">
        <w:t xml:space="preserve"> begrebet</w:t>
      </w:r>
      <w:r w:rsidRPr="000D4513">
        <w:t xml:space="preserve"> </w:t>
      </w:r>
      <w:r w:rsidR="00234DE1" w:rsidRPr="000D4513">
        <w:t>"</w:t>
      </w:r>
      <w:r w:rsidRPr="000D4513">
        <w:t>mobning eller lignende</w:t>
      </w:r>
      <w:r w:rsidR="00234DE1" w:rsidRPr="000D4513">
        <w:t>"</w:t>
      </w:r>
      <w:r w:rsidRPr="000D4513">
        <w:t xml:space="preserve"> </w:t>
      </w:r>
      <w:r w:rsidR="007F0FE0" w:rsidRPr="000D4513">
        <w:t>samt</w:t>
      </w:r>
      <w:r w:rsidRPr="000D4513">
        <w:t xml:space="preserve"> en klar beskrivelse af forholdet mellem en undersøgelsesfase og en handlingsfase. </w:t>
      </w:r>
    </w:p>
    <w:p w14:paraId="772852B9" w14:textId="77777777" w:rsidR="00034FE1" w:rsidRPr="000D4513" w:rsidRDefault="00034FE1" w:rsidP="00034FE1">
      <w:pPr>
        <w:rPr>
          <w:rFonts w:cstheme="minorHAnsi"/>
          <w:szCs w:val="22"/>
        </w:rPr>
      </w:pPr>
    </w:p>
    <w:p w14:paraId="60FA7B2A" w14:textId="0D98C623" w:rsidR="00034FE1" w:rsidRPr="000D4513" w:rsidRDefault="00034FE1" w:rsidP="00034FE1">
      <w:pPr>
        <w:rPr>
          <w:rFonts w:cstheme="minorHAnsi"/>
          <w:szCs w:val="22"/>
        </w:rPr>
      </w:pPr>
      <w:r w:rsidRPr="000D4513">
        <w:rPr>
          <w:rFonts w:cstheme="minorHAnsi"/>
          <w:szCs w:val="22"/>
          <w:u w:val="single"/>
        </w:rPr>
        <w:t>SSP-Samrådet</w:t>
      </w:r>
      <w:r w:rsidRPr="000D4513">
        <w:rPr>
          <w:rFonts w:cstheme="minorHAnsi"/>
          <w:szCs w:val="22"/>
        </w:rPr>
        <w:t xml:space="preserve"> finder det generelt problematisk, at de involverede parter ikke kan fastsætte, om der er tale om mobning, at der mangler et blik for den kontekst</w:t>
      </w:r>
      <w:r w:rsidR="00BA7A45">
        <w:rPr>
          <w:rFonts w:cstheme="minorHAnsi"/>
          <w:szCs w:val="22"/>
        </w:rPr>
        <w:t>, hvori</w:t>
      </w:r>
      <w:r w:rsidRPr="000D4513">
        <w:rPr>
          <w:rFonts w:cstheme="minorHAnsi"/>
          <w:szCs w:val="22"/>
        </w:rPr>
        <w:t xml:space="preserve"> mobningen foregår, og at synet på mobning begrænser sig til et offer</w:t>
      </w:r>
      <w:r w:rsidR="00E20C9E">
        <w:rPr>
          <w:rFonts w:cstheme="minorHAnsi"/>
          <w:szCs w:val="22"/>
        </w:rPr>
        <w:t>-</w:t>
      </w:r>
      <w:r w:rsidR="006B2D7C" w:rsidRPr="000D4513">
        <w:rPr>
          <w:rFonts w:cstheme="minorHAnsi"/>
          <w:szCs w:val="22"/>
        </w:rPr>
        <w:t>/krænker</w:t>
      </w:r>
      <w:r w:rsidRPr="000D4513">
        <w:rPr>
          <w:rFonts w:cstheme="minorHAnsi"/>
          <w:szCs w:val="22"/>
        </w:rPr>
        <w:t xml:space="preserve">perspektiv. Et snævert mobbesyn og manglende skriftlighed kan føre til et spændingsforhold mellem skole og hjemmet og giver risiko for, at også handlingsplanen bliver for snæver. </w:t>
      </w:r>
    </w:p>
    <w:p w14:paraId="0453F31F" w14:textId="77777777" w:rsidR="009D7F0D" w:rsidRPr="000D4513" w:rsidRDefault="009D7F0D" w:rsidP="007061AD"/>
    <w:p w14:paraId="23A29F37" w14:textId="38F5EB48" w:rsidR="00000B0F" w:rsidRPr="000D4513" w:rsidRDefault="00000B0F" w:rsidP="009B54C2">
      <w:pPr>
        <w:pStyle w:val="Overskrift2"/>
        <w:ind w:left="426" w:hanging="455"/>
        <w:rPr>
          <w:szCs w:val="22"/>
        </w:rPr>
      </w:pPr>
      <w:bookmarkStart w:id="23" w:name="_Ref53244799"/>
      <w:bookmarkStart w:id="24" w:name="_Ref53304947"/>
      <w:bookmarkStart w:id="25" w:name="_Toc54877184"/>
      <w:r w:rsidRPr="000D4513">
        <w:rPr>
          <w:szCs w:val="22"/>
        </w:rPr>
        <w:t xml:space="preserve">Børne- og </w:t>
      </w:r>
      <w:r w:rsidR="00BA7A45">
        <w:rPr>
          <w:szCs w:val="22"/>
        </w:rPr>
        <w:t>U</w:t>
      </w:r>
      <w:r w:rsidRPr="000D4513">
        <w:rPr>
          <w:szCs w:val="22"/>
        </w:rPr>
        <w:t xml:space="preserve">ndervisningsministeriets bemærkninger og </w:t>
      </w:r>
      <w:r w:rsidR="00AF707A" w:rsidRPr="000D4513">
        <w:rPr>
          <w:szCs w:val="22"/>
        </w:rPr>
        <w:t>overvejelser</w:t>
      </w:r>
      <w:bookmarkEnd w:id="23"/>
      <w:bookmarkEnd w:id="24"/>
      <w:bookmarkEnd w:id="25"/>
    </w:p>
    <w:p w14:paraId="30C2C83D" w14:textId="77777777" w:rsidR="0034396D" w:rsidRPr="000D4513" w:rsidRDefault="00234DE1" w:rsidP="007061AD">
      <w:pPr>
        <w:pStyle w:val="Brdtekst"/>
        <w:rPr>
          <w:u w:val="single"/>
        </w:rPr>
      </w:pPr>
      <w:r w:rsidRPr="000D4513">
        <w:rPr>
          <w:u w:val="single"/>
        </w:rPr>
        <w:t>A</w:t>
      </w:r>
      <w:r w:rsidR="00356DCA" w:rsidRPr="000D4513">
        <w:rPr>
          <w:u w:val="single"/>
        </w:rPr>
        <w:t>fgrænsningen af</w:t>
      </w:r>
      <w:r w:rsidR="00424A82" w:rsidRPr="000D4513">
        <w:rPr>
          <w:u w:val="single"/>
        </w:rPr>
        <w:t xml:space="preserve"> begrebet</w:t>
      </w:r>
      <w:r w:rsidR="00356DCA" w:rsidRPr="000D4513">
        <w:rPr>
          <w:u w:val="single"/>
        </w:rPr>
        <w:t xml:space="preserve"> </w:t>
      </w:r>
      <w:r w:rsidR="0034396D" w:rsidRPr="000D4513">
        <w:rPr>
          <w:u w:val="single"/>
        </w:rPr>
        <w:t>mobning eller lignende</w:t>
      </w:r>
    </w:p>
    <w:p w14:paraId="3B889C09" w14:textId="1D0DA970" w:rsidR="00234DE1" w:rsidRPr="000D4513" w:rsidRDefault="00550E64" w:rsidP="007061AD">
      <w:pPr>
        <w:pStyle w:val="Brdtekst"/>
      </w:pPr>
      <w:r w:rsidRPr="000D4513">
        <w:t xml:space="preserve">Mobning er et kompliceret fænomen, og det kan være vanskeligt at vurdere, hvornår en situation kan siges at være mobning. </w:t>
      </w:r>
      <w:r w:rsidR="002A69E7">
        <w:t>D</w:t>
      </w:r>
      <w:r w:rsidR="00547AF5" w:rsidRPr="000D4513">
        <w:t>et har</w:t>
      </w:r>
      <w:r w:rsidR="00234DE1" w:rsidRPr="000D4513">
        <w:t xml:space="preserve"> </w:t>
      </w:r>
      <w:r w:rsidR="00547AF5" w:rsidRPr="000D4513">
        <w:t>(</w:t>
      </w:r>
      <w:r w:rsidR="00234DE1" w:rsidRPr="000D4513">
        <w:t>selvsagt</w:t>
      </w:r>
      <w:r w:rsidR="00547AF5" w:rsidRPr="000D4513">
        <w:t>)</w:t>
      </w:r>
      <w:r w:rsidR="00234DE1" w:rsidRPr="000D4513">
        <w:t xml:space="preserve"> ikke </w:t>
      </w:r>
      <w:r w:rsidR="00547AF5" w:rsidRPr="000D4513">
        <w:t xml:space="preserve">været </w:t>
      </w:r>
      <w:r w:rsidR="00490694" w:rsidRPr="000D4513">
        <w:t>intentionen</w:t>
      </w:r>
      <w:r w:rsidR="00547AF5" w:rsidRPr="000D4513">
        <w:t xml:space="preserve">, </w:t>
      </w:r>
      <w:r w:rsidR="00234DE1" w:rsidRPr="000D4513">
        <w:t xml:space="preserve">at afgrænsningen </w:t>
      </w:r>
      <w:r w:rsidR="00490694" w:rsidRPr="000D4513">
        <w:t>af</w:t>
      </w:r>
      <w:r w:rsidR="00234DE1" w:rsidRPr="000D4513">
        <w:t xml:space="preserve"> </w:t>
      </w:r>
      <w:r w:rsidR="00490694" w:rsidRPr="000D4513">
        <w:t>kernebegrebet mobning eller lignende</w:t>
      </w:r>
      <w:r w:rsidR="00234DE1" w:rsidRPr="000D4513">
        <w:t xml:space="preserve"> skulle føre til </w:t>
      </w:r>
      <w:r w:rsidR="00490694" w:rsidRPr="000D4513">
        <w:t>usikkerhed</w:t>
      </w:r>
      <w:r w:rsidR="00234DE1" w:rsidRPr="000D4513">
        <w:t xml:space="preserve"> i </w:t>
      </w:r>
      <w:r w:rsidR="00547AF5" w:rsidRPr="000D4513">
        <w:t xml:space="preserve">den </w:t>
      </w:r>
      <w:r w:rsidR="00234DE1" w:rsidRPr="000D4513">
        <w:t>sagspåvirkende grad, som de</w:t>
      </w:r>
      <w:r w:rsidR="0007189C" w:rsidRPr="000D4513">
        <w:t xml:space="preserve">r gives </w:t>
      </w:r>
      <w:r w:rsidR="00234DE1" w:rsidRPr="000D4513">
        <w:t xml:space="preserve">udtryk </w:t>
      </w:r>
      <w:r w:rsidR="0007189C" w:rsidRPr="000D4513">
        <w:t xml:space="preserve">for </w:t>
      </w:r>
      <w:r w:rsidR="00490694" w:rsidRPr="000D4513">
        <w:t xml:space="preserve">både </w:t>
      </w:r>
      <w:r w:rsidR="00234DE1" w:rsidRPr="000D4513">
        <w:t xml:space="preserve">i Epinions evaluering og </w:t>
      </w:r>
      <w:r w:rsidR="00490694" w:rsidRPr="000D4513">
        <w:t xml:space="preserve">i </w:t>
      </w:r>
      <w:r w:rsidR="00234DE1" w:rsidRPr="000D4513">
        <w:t>høringssvarene.</w:t>
      </w:r>
    </w:p>
    <w:p w14:paraId="02D6D0E0" w14:textId="77777777" w:rsidR="00234DE1" w:rsidRPr="000D4513" w:rsidRDefault="00234DE1" w:rsidP="007061AD">
      <w:pPr>
        <w:pStyle w:val="Brdtekst"/>
      </w:pPr>
    </w:p>
    <w:p w14:paraId="0617DF6B" w14:textId="5690F3FF" w:rsidR="00234DE1" w:rsidRPr="000D4513" w:rsidRDefault="002A69E7" w:rsidP="00547AF5">
      <w:pPr>
        <w:pStyle w:val="Brdtekst"/>
      </w:pPr>
      <w:r>
        <w:t>B</w:t>
      </w:r>
      <w:r w:rsidR="00234DE1" w:rsidRPr="000D4513">
        <w:t xml:space="preserve">emærkningerne til lovforslaget bag </w:t>
      </w:r>
      <w:r w:rsidR="00E9606A" w:rsidRPr="000D4513">
        <w:t>ændringsloven</w:t>
      </w:r>
      <w:r w:rsidR="00234DE1" w:rsidRPr="000D4513">
        <w:t xml:space="preserve"> </w:t>
      </w:r>
      <w:r>
        <w:t>indeholder</w:t>
      </w:r>
      <w:r w:rsidR="00547AF5" w:rsidRPr="000D4513">
        <w:t xml:space="preserve"> en række</w:t>
      </w:r>
      <w:r w:rsidR="00234DE1" w:rsidRPr="000D4513">
        <w:t xml:space="preserve"> angivelser af, hvad begrebet </w:t>
      </w:r>
      <w:r>
        <w:t>forudsættes</w:t>
      </w:r>
      <w:r w:rsidR="00234DE1" w:rsidRPr="000D4513">
        <w:t xml:space="preserve"> at omfatte. Det fremg</w:t>
      </w:r>
      <w:r>
        <w:t>år</w:t>
      </w:r>
      <w:r w:rsidR="00234DE1" w:rsidRPr="000D4513">
        <w:t xml:space="preserve">, at udstødelseshandlinger ofte </w:t>
      </w:r>
      <w:r w:rsidR="00547AF5" w:rsidRPr="000D4513">
        <w:t xml:space="preserve">har </w:t>
      </w:r>
      <w:r w:rsidR="00234DE1" w:rsidRPr="000D4513">
        <w:t>en systematik, der kan føre til eksklusion og nedgørelse. Det fremg</w:t>
      </w:r>
      <w:r>
        <w:t>år</w:t>
      </w:r>
      <w:r w:rsidR="00234DE1" w:rsidRPr="000D4513">
        <w:t xml:space="preserve"> også, at mobning kan være direkte og forfølgende eller indirekte og udelukkende, og at det kan komme til udtryk ved synlig, direkte forfølgelse, eller ved en mere tavs, skjult udelukkelse. Det fremg</w:t>
      </w:r>
      <w:r>
        <w:t>år</w:t>
      </w:r>
      <w:r w:rsidR="00234DE1" w:rsidRPr="000D4513">
        <w:t xml:space="preserve"> endvidere, at mobning forudsætter en magtubalance, hvor det er blevet socialt accepteret, at en eller flere personer er mindre værd end andre. Det fremg</w:t>
      </w:r>
      <w:r>
        <w:t>år</w:t>
      </w:r>
      <w:r w:rsidR="00234DE1" w:rsidRPr="000D4513">
        <w:t xml:space="preserve"> endelig, at </w:t>
      </w:r>
      <w:r w:rsidR="00547AF5" w:rsidRPr="000D4513">
        <w:t>begrebet/</w:t>
      </w:r>
      <w:r w:rsidR="00234DE1" w:rsidRPr="000D4513">
        <w:t>bestemmelse</w:t>
      </w:r>
      <w:r w:rsidR="00547AF5" w:rsidRPr="000D4513">
        <w:t>n havde sigte</w:t>
      </w:r>
      <w:r w:rsidR="00234DE1" w:rsidRPr="000D4513">
        <w:t xml:space="preserve"> </w:t>
      </w:r>
      <w:r w:rsidR="00BA7A45">
        <w:t xml:space="preserve">på </w:t>
      </w:r>
      <w:r w:rsidR="00547AF5" w:rsidRPr="000D4513">
        <w:t>tilfælde</w:t>
      </w:r>
      <w:r w:rsidR="00234DE1" w:rsidRPr="000D4513">
        <w:t>, som er en følge af elevadfærd uden for uddannelsesstedet, fx til fritidsaktiviteter eller på de sociale medier, men som har en direkte indflydelse på det psykiske undervisningsmiljø på uddannelsesstedet for en eller flere elever.</w:t>
      </w:r>
    </w:p>
    <w:p w14:paraId="1E626DB8" w14:textId="3F89FBCF" w:rsidR="00550E64" w:rsidRPr="000D4513" w:rsidRDefault="00550E64" w:rsidP="00547AF5">
      <w:pPr>
        <w:pStyle w:val="Brdtekst"/>
      </w:pPr>
    </w:p>
    <w:p w14:paraId="041E079E" w14:textId="2A5C9388" w:rsidR="00234DE1" w:rsidRPr="000D4513" w:rsidRDefault="00234DE1" w:rsidP="007061AD">
      <w:pPr>
        <w:pStyle w:val="Brdtekst"/>
      </w:pPr>
      <w:r w:rsidRPr="000D4513">
        <w:t xml:space="preserve">Ministeriet </w:t>
      </w:r>
      <w:r w:rsidR="00547AF5" w:rsidRPr="000D4513">
        <w:t>kan</w:t>
      </w:r>
      <w:r w:rsidRPr="000D4513">
        <w:t xml:space="preserve"> </w:t>
      </w:r>
      <w:r w:rsidR="002A69E7">
        <w:t>være enigt i</w:t>
      </w:r>
      <w:r w:rsidRPr="000D4513">
        <w:t>, at der kan være langt fra lovbemærkninger til det virkelige liv på et uddannelsessted</w:t>
      </w:r>
      <w:r w:rsidR="004E6D4A" w:rsidRPr="000D4513">
        <w:t>. D</w:t>
      </w:r>
      <w:r w:rsidR="00547AF5" w:rsidRPr="000D4513">
        <w:t xml:space="preserve">a forståelsen af begrebet mobning er en krumtap i ordningerne og </w:t>
      </w:r>
      <w:r w:rsidR="004E6D4A" w:rsidRPr="000D4513">
        <w:t xml:space="preserve">dermed </w:t>
      </w:r>
      <w:r w:rsidR="00547AF5" w:rsidRPr="000D4513">
        <w:t xml:space="preserve">mulighederne for, at disse </w:t>
      </w:r>
      <w:r w:rsidR="0007189C" w:rsidRPr="000D4513">
        <w:t xml:space="preserve">i praksis </w:t>
      </w:r>
      <w:r w:rsidR="00547AF5" w:rsidRPr="000D4513">
        <w:t xml:space="preserve">virker til alles bedste, </w:t>
      </w:r>
      <w:r w:rsidR="002A278B" w:rsidRPr="000D4513">
        <w:t>bør</w:t>
      </w:r>
      <w:r w:rsidR="00547AF5" w:rsidRPr="000D4513">
        <w:t xml:space="preserve"> </w:t>
      </w:r>
      <w:r w:rsidR="0007189C" w:rsidRPr="000D4513">
        <w:t xml:space="preserve">synspunkterne og anbefalingerne derfor indgå </w:t>
      </w:r>
      <w:r w:rsidR="00547AF5" w:rsidRPr="000D4513">
        <w:t xml:space="preserve">i videre overvejelser </w:t>
      </w:r>
      <w:r w:rsidR="0007189C" w:rsidRPr="000D4513">
        <w:t xml:space="preserve">med sigte på </w:t>
      </w:r>
      <w:r w:rsidR="00547AF5" w:rsidRPr="000D4513">
        <w:t>at finde løsning</w:t>
      </w:r>
      <w:r w:rsidR="004E6D4A" w:rsidRPr="000D4513">
        <w:t>er</w:t>
      </w:r>
      <w:r w:rsidR="00547AF5" w:rsidRPr="000D4513">
        <w:t xml:space="preserve">, der </w:t>
      </w:r>
      <w:r w:rsidR="0007189C" w:rsidRPr="000D4513">
        <w:t xml:space="preserve">kan </w:t>
      </w:r>
      <w:r w:rsidR="00547AF5" w:rsidRPr="000D4513">
        <w:t>re</w:t>
      </w:r>
      <w:r w:rsidR="0007189C" w:rsidRPr="000D4513">
        <w:t>tte</w:t>
      </w:r>
      <w:r w:rsidR="00547AF5" w:rsidRPr="000D4513">
        <w:t xml:space="preserve"> op herpå.  </w:t>
      </w:r>
    </w:p>
    <w:p w14:paraId="0F16FCBD" w14:textId="77777777" w:rsidR="00234DE1" w:rsidRPr="000D4513" w:rsidRDefault="00234DE1" w:rsidP="007061AD">
      <w:pPr>
        <w:pStyle w:val="Brdtekst"/>
      </w:pPr>
    </w:p>
    <w:p w14:paraId="7FEA84F2" w14:textId="77777777" w:rsidR="00234DE1" w:rsidRPr="000D4513" w:rsidRDefault="007061AD" w:rsidP="007061AD">
      <w:pPr>
        <w:pStyle w:val="Brdtekst"/>
      </w:pPr>
      <w:r w:rsidRPr="000D4513">
        <w:rPr>
          <w:u w:val="single"/>
        </w:rPr>
        <w:t>M</w:t>
      </w:r>
      <w:r w:rsidR="0034396D" w:rsidRPr="000D4513">
        <w:rPr>
          <w:u w:val="single"/>
        </w:rPr>
        <w:t>obbesyn</w:t>
      </w:r>
    </w:p>
    <w:p w14:paraId="6A550A56" w14:textId="3CDAA90C" w:rsidR="00F115B1" w:rsidRPr="000D4513" w:rsidRDefault="0007189C" w:rsidP="002A69E7">
      <w:pPr>
        <w:pStyle w:val="Brdtekst"/>
      </w:pPr>
      <w:r w:rsidRPr="000D4513">
        <w:t>Med hensyn til tilkendegivelserne om behov for, at der i højere grad</w:t>
      </w:r>
      <w:r w:rsidR="00F115B1" w:rsidRPr="000D4513">
        <w:t xml:space="preserve"> bør</w:t>
      </w:r>
      <w:r w:rsidRPr="000D4513">
        <w:t xml:space="preserve"> fokuseres på et fællesskabsorienteret mobbesyn</w:t>
      </w:r>
      <w:r w:rsidR="00F115B1" w:rsidRPr="000D4513">
        <w:t xml:space="preserve"> frem for et </w:t>
      </w:r>
      <w:r w:rsidR="00F115B1" w:rsidRPr="000D4513">
        <w:rPr>
          <w:rFonts w:cstheme="minorHAnsi"/>
          <w:szCs w:val="22"/>
        </w:rPr>
        <w:t>snævert offer</w:t>
      </w:r>
      <w:r w:rsidR="00E20C9E">
        <w:rPr>
          <w:rFonts w:cstheme="minorHAnsi"/>
          <w:szCs w:val="22"/>
        </w:rPr>
        <w:t>-</w:t>
      </w:r>
      <w:r w:rsidR="00F115B1" w:rsidRPr="000D4513">
        <w:rPr>
          <w:rFonts w:cstheme="minorHAnsi"/>
          <w:szCs w:val="22"/>
        </w:rPr>
        <w:t>/</w:t>
      </w:r>
      <w:r w:rsidR="00E20C9E">
        <w:rPr>
          <w:rFonts w:cstheme="minorHAnsi"/>
          <w:szCs w:val="22"/>
        </w:rPr>
        <w:t>krænk</w:t>
      </w:r>
      <w:r w:rsidR="00F115B1" w:rsidRPr="000D4513">
        <w:rPr>
          <w:rFonts w:cstheme="minorHAnsi"/>
          <w:szCs w:val="22"/>
        </w:rPr>
        <w:t>erperspektiv</w:t>
      </w:r>
      <w:r w:rsidRPr="000D4513">
        <w:t xml:space="preserve">, </w:t>
      </w:r>
      <w:r w:rsidR="002A69E7">
        <w:t>bemærkes</w:t>
      </w:r>
      <w:r w:rsidRPr="000D4513">
        <w:t xml:space="preserve">, at </w:t>
      </w:r>
      <w:r w:rsidR="002A69E7">
        <w:t>det</w:t>
      </w:r>
      <w:r w:rsidR="00F115B1" w:rsidRPr="000D4513">
        <w:t xml:space="preserve"> i bemærkningerne til lovforslaget bag </w:t>
      </w:r>
      <w:r w:rsidR="00E9606A" w:rsidRPr="000D4513">
        <w:t>ændringsloven</w:t>
      </w:r>
      <w:r w:rsidR="00F115B1" w:rsidRPr="000D4513">
        <w:t xml:space="preserve"> </w:t>
      </w:r>
      <w:r w:rsidR="002A69E7">
        <w:t xml:space="preserve">er </w:t>
      </w:r>
      <w:r w:rsidR="00F115B1" w:rsidRPr="000D4513">
        <w:t>anført, at mobning handler om en bestemt adfærd, som udspringer af en utryg kultur blandt større eller mindre grupper. Det fremg</w:t>
      </w:r>
      <w:r w:rsidR="002A69E7">
        <w:t>år</w:t>
      </w:r>
      <w:r w:rsidR="00F115B1" w:rsidRPr="000D4513">
        <w:t xml:space="preserve"> videre, at mobning </w:t>
      </w:r>
      <w:r w:rsidR="00F115B1" w:rsidRPr="000D4513">
        <w:lastRenderedPageBreak/>
        <w:t xml:space="preserve">i den sammenhæng </w:t>
      </w:r>
      <w:r w:rsidR="00E20C9E">
        <w:t>omfatt</w:t>
      </w:r>
      <w:r w:rsidR="00BA7A45">
        <w:t xml:space="preserve">er </w:t>
      </w:r>
      <w:r w:rsidR="00F115B1" w:rsidRPr="000D4513">
        <w:t xml:space="preserve">mere end blot et offer og en mobber, nemlig tilskuere eller medløbere, som mere eller mindre bevidst accepterer udstødelsen eller nedværdigelsen af et eller flere af gruppens medlemmer. Det </w:t>
      </w:r>
      <w:r w:rsidR="008E5902">
        <w:t>konkluderes</w:t>
      </w:r>
      <w:r w:rsidR="00F115B1" w:rsidRPr="000D4513">
        <w:t xml:space="preserve"> på den baggrund </w:t>
      </w:r>
      <w:r w:rsidR="008E5902">
        <w:t>i bemærkningerne</w:t>
      </w:r>
      <w:r w:rsidR="00F115B1" w:rsidRPr="000D4513">
        <w:t xml:space="preserve">, at mobning således er et gruppefænomen, som ikke udelukkende kan hægtes op på enkeltindivider, ligesom det </w:t>
      </w:r>
      <w:r w:rsidR="002A69E7">
        <w:t>er</w:t>
      </w:r>
      <w:r w:rsidR="00F115B1" w:rsidRPr="000D4513">
        <w:t xml:space="preserve"> fremhævet, at mobning også kan være en måde at skabe et fællesskab på, når det ikke lykkes at samles i fællesskaber om andre emner/aktiviteter.</w:t>
      </w:r>
    </w:p>
    <w:p w14:paraId="5B7A751C" w14:textId="77777777" w:rsidR="00F115B1" w:rsidRPr="000D4513" w:rsidRDefault="00F115B1" w:rsidP="00F115B1">
      <w:pPr>
        <w:pStyle w:val="Brdtekst"/>
      </w:pPr>
    </w:p>
    <w:p w14:paraId="03EB9448" w14:textId="77777777" w:rsidR="0034396D" w:rsidRPr="000D4513" w:rsidRDefault="00F115B1" w:rsidP="007061AD">
      <w:pPr>
        <w:pStyle w:val="Brdtekst"/>
      </w:pPr>
      <w:r w:rsidRPr="000D4513">
        <w:t xml:space="preserve">Da dette spørgsmål i </w:t>
      </w:r>
      <w:r w:rsidR="00CB5FCF" w:rsidRPr="000D4513">
        <w:t>høj</w:t>
      </w:r>
      <w:r w:rsidRPr="000D4513">
        <w:t xml:space="preserve"> grad er knyttet til afgrænsningen af, </w:t>
      </w:r>
      <w:r w:rsidR="00AF46D7" w:rsidRPr="000D4513">
        <w:t>hvad der</w:t>
      </w:r>
      <w:r w:rsidRPr="000D4513">
        <w:t xml:space="preserve"> </w:t>
      </w:r>
      <w:r w:rsidR="00AF46D7" w:rsidRPr="000D4513">
        <w:t xml:space="preserve">grundlæggende </w:t>
      </w:r>
      <w:r w:rsidRPr="000D4513">
        <w:t>forstås ved mobning eller lignende, er det også centralt, at der ikke hersker tvivl om, hvad der er udgangspunktet for ordningerne, da det er styrende for den konkrete udformning af antimobbestrategier og de konkrete virkemidler i handlingsplane</w:t>
      </w:r>
      <w:r w:rsidR="00CB5FCF" w:rsidRPr="000D4513">
        <w:t xml:space="preserve">r. </w:t>
      </w:r>
    </w:p>
    <w:p w14:paraId="7FA45137" w14:textId="77777777" w:rsidR="00CB5FCF" w:rsidRPr="000D4513" w:rsidRDefault="00CB5FCF" w:rsidP="007061AD">
      <w:pPr>
        <w:pStyle w:val="Brdtekst"/>
      </w:pPr>
    </w:p>
    <w:p w14:paraId="5DCC9A9F" w14:textId="60D6D92E" w:rsidR="00CB5FCF" w:rsidRPr="000D4513" w:rsidRDefault="00CB5FCF" w:rsidP="007061AD">
      <w:pPr>
        <w:pStyle w:val="Brdtekst"/>
        <w:rPr>
          <w:szCs w:val="22"/>
        </w:rPr>
      </w:pPr>
      <w:r w:rsidRPr="000D4513">
        <w:t>Behovet for eventuelle præciseringe</w:t>
      </w:r>
      <w:r w:rsidR="001F4CFB" w:rsidRPr="000D4513">
        <w:t>r</w:t>
      </w:r>
      <w:r w:rsidRPr="000D4513">
        <w:t xml:space="preserve"> </w:t>
      </w:r>
      <w:r w:rsidR="00E94AAB" w:rsidRPr="000D4513">
        <w:t xml:space="preserve">vedrørende lovens mobbesyn </w:t>
      </w:r>
      <w:r w:rsidR="002A278B" w:rsidRPr="000D4513">
        <w:t>bør</w:t>
      </w:r>
      <w:r w:rsidRPr="000D4513">
        <w:t xml:space="preserve"> på den anførte baggrund</w:t>
      </w:r>
      <w:r w:rsidR="002A278B" w:rsidRPr="000D4513">
        <w:t xml:space="preserve"> </w:t>
      </w:r>
      <w:r w:rsidRPr="000D4513">
        <w:t>indgå som en del af de føromtalte overvejelser vedrørende den grundlæggende forståelse af begrebet mobning.</w:t>
      </w:r>
    </w:p>
    <w:p w14:paraId="0D54B87B" w14:textId="77777777" w:rsidR="007061AD" w:rsidRPr="000D4513" w:rsidRDefault="007061AD" w:rsidP="007061AD">
      <w:pPr>
        <w:pStyle w:val="Brdtekst"/>
      </w:pPr>
    </w:p>
    <w:p w14:paraId="0635FDAF" w14:textId="018AEECA" w:rsidR="00CB5FCF" w:rsidRPr="000D4513" w:rsidRDefault="00B556E0" w:rsidP="007061AD">
      <w:pPr>
        <w:pStyle w:val="Brdtekst"/>
        <w:rPr>
          <w:u w:val="single"/>
        </w:rPr>
      </w:pPr>
      <w:r w:rsidRPr="000D4513">
        <w:rPr>
          <w:u w:val="single"/>
        </w:rPr>
        <w:t>A</w:t>
      </w:r>
      <w:r w:rsidR="00CB5FCF" w:rsidRPr="000D4513">
        <w:rPr>
          <w:u w:val="single"/>
        </w:rPr>
        <w:t>ntimobbestrategi</w:t>
      </w:r>
      <w:r w:rsidR="00645617" w:rsidRPr="000D4513">
        <w:rPr>
          <w:u w:val="single"/>
        </w:rPr>
        <w:t>ens indhold, udarbejdelse</w:t>
      </w:r>
      <w:r w:rsidR="009A04CA" w:rsidRPr="000D4513">
        <w:rPr>
          <w:u w:val="single"/>
        </w:rPr>
        <w:t xml:space="preserve"> og inddragelse i udarbejdelsen</w:t>
      </w:r>
      <w:r w:rsidR="00645617" w:rsidRPr="000D4513">
        <w:rPr>
          <w:u w:val="single"/>
        </w:rPr>
        <w:t xml:space="preserve"> m.v.</w:t>
      </w:r>
    </w:p>
    <w:p w14:paraId="6051E27D" w14:textId="5BAD6142" w:rsidR="001F4CFB" w:rsidRPr="000D4513" w:rsidRDefault="0034396D" w:rsidP="001F4CFB">
      <w:pPr>
        <w:pStyle w:val="Brdtekst"/>
      </w:pPr>
      <w:r w:rsidRPr="000D4513">
        <w:t xml:space="preserve">Det </w:t>
      </w:r>
      <w:r w:rsidR="00CB5FCF" w:rsidRPr="000D4513">
        <w:t xml:space="preserve">er et gennemgående træk både </w:t>
      </w:r>
      <w:r w:rsidR="001F4CFB" w:rsidRPr="000D4513">
        <w:t xml:space="preserve">i </w:t>
      </w:r>
      <w:r w:rsidR="00CB5FCF" w:rsidRPr="000D4513">
        <w:t xml:space="preserve">Epinions evaluering og </w:t>
      </w:r>
      <w:r w:rsidR="00EA5268" w:rsidRPr="000D4513">
        <w:t xml:space="preserve">mange </w:t>
      </w:r>
      <w:r w:rsidR="00CB5FCF" w:rsidRPr="000D4513">
        <w:t xml:space="preserve">høringssvar, at der efterlyses regler om, at </w:t>
      </w:r>
      <w:r w:rsidRPr="000D4513">
        <w:t>antimobbestrategi</w:t>
      </w:r>
      <w:r w:rsidR="00CB5FCF" w:rsidRPr="000D4513">
        <w:t xml:space="preserve">en skal </w:t>
      </w:r>
      <w:r w:rsidRPr="000D4513">
        <w:t xml:space="preserve">udarbejdes igennem </w:t>
      </w:r>
      <w:r w:rsidR="00CB5FCF" w:rsidRPr="000D4513">
        <w:t xml:space="preserve">en </w:t>
      </w:r>
      <w:r w:rsidR="001F4CFB" w:rsidRPr="000D4513">
        <w:t xml:space="preserve">bred, </w:t>
      </w:r>
      <w:r w:rsidRPr="000D4513">
        <w:t xml:space="preserve">medinddragende </w:t>
      </w:r>
      <w:r w:rsidR="001F4CFB" w:rsidRPr="000D4513">
        <w:t xml:space="preserve">proces </w:t>
      </w:r>
      <w:r w:rsidRPr="000D4513">
        <w:t xml:space="preserve">på </w:t>
      </w:r>
      <w:r w:rsidR="00CB5FCF" w:rsidRPr="000D4513">
        <w:t>uddannelsesstedet.</w:t>
      </w:r>
      <w:r w:rsidR="001F4CFB" w:rsidRPr="000D4513">
        <w:t xml:space="preserve"> Der fremkommer i høringen endvidere anbefalinger om, at </w:t>
      </w:r>
      <w:r w:rsidR="00490694" w:rsidRPr="000D4513">
        <w:t>det af loven kommer til at frem</w:t>
      </w:r>
      <w:r w:rsidR="001F4CFB" w:rsidRPr="000D4513">
        <w:t xml:space="preserve">gå, at strategien skal indeholde et vist minimum af elementer, og at </w:t>
      </w:r>
      <w:r w:rsidR="001F4CFB" w:rsidRPr="000D4513">
        <w:rPr>
          <w:rFonts w:cstheme="minorBidi"/>
        </w:rPr>
        <w:t>det ligeledes gøres obligatorisk at indskrive lovbestemmelserne om handlepligt</w:t>
      </w:r>
      <w:r w:rsidR="001F4CFB" w:rsidRPr="000D4513">
        <w:t xml:space="preserve"> og</w:t>
      </w:r>
      <w:r w:rsidR="001F4CFB" w:rsidRPr="000D4513">
        <w:rPr>
          <w:rFonts w:cstheme="minorBidi"/>
        </w:rPr>
        <w:t xml:space="preserve"> ret til at klage</w:t>
      </w:r>
      <w:r w:rsidR="001F4CFB" w:rsidRPr="000D4513">
        <w:t xml:space="preserve"> i </w:t>
      </w:r>
      <w:r w:rsidR="001F4CFB" w:rsidRPr="000D4513">
        <w:rPr>
          <w:rFonts w:cstheme="minorBidi"/>
        </w:rPr>
        <w:t>strategier</w:t>
      </w:r>
      <w:r w:rsidR="001F4CFB" w:rsidRPr="000D4513">
        <w:t xml:space="preserve">ne. Endelig fremsættes </w:t>
      </w:r>
      <w:r w:rsidR="0011738A" w:rsidRPr="000D4513">
        <w:t>anbefalinger</w:t>
      </w:r>
      <w:r w:rsidR="001F4CFB" w:rsidRPr="000D4513">
        <w:t xml:space="preserve"> om, at det af loven skal fremgå, at strategien </w:t>
      </w:r>
      <w:r w:rsidR="0011738A" w:rsidRPr="000D4513">
        <w:t>s</w:t>
      </w:r>
      <w:r w:rsidR="00E20C9E">
        <w:t>k</w:t>
      </w:r>
      <w:r w:rsidR="0011738A" w:rsidRPr="000D4513">
        <w:t xml:space="preserve">al </w:t>
      </w:r>
      <w:r w:rsidR="001F4CFB" w:rsidRPr="000D4513">
        <w:t>opdateres med passende mellemrum, hvor mindst hvert tredje år</w:t>
      </w:r>
      <w:r w:rsidR="0011738A" w:rsidRPr="000D4513">
        <w:t xml:space="preserve"> er nævnt som eksempel</w:t>
      </w:r>
      <w:r w:rsidR="001F4CFB" w:rsidRPr="000D4513">
        <w:t>.</w:t>
      </w:r>
    </w:p>
    <w:p w14:paraId="406AACED" w14:textId="77777777" w:rsidR="00EA5268" w:rsidRPr="000D4513" w:rsidRDefault="00EA5268" w:rsidP="001F4CFB">
      <w:pPr>
        <w:pStyle w:val="Brdtekst"/>
      </w:pPr>
    </w:p>
    <w:p w14:paraId="5778DFEE" w14:textId="0537C8A1" w:rsidR="00EA5268" w:rsidRPr="000D4513" w:rsidRDefault="00EA5268" w:rsidP="001F4CFB">
      <w:pPr>
        <w:pStyle w:val="Brdtekst"/>
      </w:pPr>
      <w:r w:rsidRPr="000D4513">
        <w:t xml:space="preserve">Der udtrykkes </w:t>
      </w:r>
      <w:r w:rsidR="002A69E7">
        <w:t>samtidig</w:t>
      </w:r>
      <w:r w:rsidRPr="000D4513">
        <w:t xml:space="preserve"> i høringen, navnlig fra </w:t>
      </w:r>
      <w:r w:rsidR="002A69E7">
        <w:t>foreningerne for friskoler og private grundskoler m.fl.</w:t>
      </w:r>
      <w:r w:rsidRPr="000D4513">
        <w:t>, bekymring for eventuelt flere regler.</w:t>
      </w:r>
    </w:p>
    <w:p w14:paraId="53339383" w14:textId="77777777" w:rsidR="00AF707A" w:rsidRPr="000D4513" w:rsidRDefault="00AF707A" w:rsidP="007061AD">
      <w:pPr>
        <w:pStyle w:val="Brdtekst"/>
      </w:pPr>
    </w:p>
    <w:p w14:paraId="7CAEF190" w14:textId="5E774692" w:rsidR="00B07056" w:rsidRPr="000D4513" w:rsidRDefault="0011738A" w:rsidP="007061AD">
      <w:pPr>
        <w:pStyle w:val="Brdtekst"/>
      </w:pPr>
      <w:r w:rsidRPr="000D4513">
        <w:t>Ministeriet har noteret sig konklusionen i Epinions evaluering om, at a</w:t>
      </w:r>
      <w:r w:rsidR="00CB5FCF" w:rsidRPr="000D4513">
        <w:t>ntimobbestrategi</w:t>
      </w:r>
      <w:r w:rsidRPr="000D4513">
        <w:t>en</w:t>
      </w:r>
      <w:r w:rsidR="00CB5FCF" w:rsidRPr="000D4513">
        <w:t>s effekt</w:t>
      </w:r>
      <w:r w:rsidRPr="000D4513">
        <w:t xml:space="preserve"> stiger</w:t>
      </w:r>
      <w:r w:rsidR="00CB5FCF" w:rsidRPr="000D4513">
        <w:t xml:space="preserve">, </w:t>
      </w:r>
      <w:r w:rsidRPr="000D4513">
        <w:t xml:space="preserve">når </w:t>
      </w:r>
      <w:r w:rsidR="00CB5FCF" w:rsidRPr="000D4513">
        <w:t xml:space="preserve">den udarbejdes igennem </w:t>
      </w:r>
      <w:r w:rsidR="00EA5268" w:rsidRPr="000D4513">
        <w:t>en bred</w:t>
      </w:r>
      <w:r w:rsidR="00CB5FCF" w:rsidRPr="000D4513">
        <w:t xml:space="preserve"> og medinddragende </w:t>
      </w:r>
      <w:r w:rsidR="00EA5268" w:rsidRPr="000D4513">
        <w:t xml:space="preserve">proces </w:t>
      </w:r>
      <w:r w:rsidR="00CB5FCF" w:rsidRPr="000D4513">
        <w:t>på institutionen</w:t>
      </w:r>
      <w:r w:rsidRPr="000D4513">
        <w:t xml:space="preserve">. Det er også korrekt, at der ikke efter de gældende regler er </w:t>
      </w:r>
      <w:r w:rsidR="00AF46D7" w:rsidRPr="000D4513">
        <w:t xml:space="preserve">et direkte </w:t>
      </w:r>
      <w:r w:rsidRPr="000D4513">
        <w:t xml:space="preserve">krav om </w:t>
      </w:r>
      <w:r w:rsidR="00AF46D7" w:rsidRPr="000D4513">
        <w:t xml:space="preserve">at </w:t>
      </w:r>
      <w:r w:rsidRPr="000D4513">
        <w:t>i</w:t>
      </w:r>
      <w:r w:rsidR="00AF46D7" w:rsidRPr="000D4513">
        <w:t>nddrage</w:t>
      </w:r>
      <w:r w:rsidR="001F4CFB" w:rsidRPr="000D4513">
        <w:t xml:space="preserve"> eleverne, forældrene, lærer</w:t>
      </w:r>
      <w:r w:rsidR="00AF46D7" w:rsidRPr="000D4513">
        <w:t>ne, skolepædagogerne eller andre</w:t>
      </w:r>
      <w:r w:rsidR="00EA5268" w:rsidRPr="000D4513">
        <w:t xml:space="preserve"> gruppe</w:t>
      </w:r>
      <w:r w:rsidR="00E20C9E">
        <w:t>r</w:t>
      </w:r>
      <w:r w:rsidR="00EA5268" w:rsidRPr="000D4513">
        <w:t xml:space="preserve"> på eller uden for uddannelsesstedet</w:t>
      </w:r>
      <w:r w:rsidRPr="000D4513">
        <w:t xml:space="preserve">. </w:t>
      </w:r>
    </w:p>
    <w:p w14:paraId="5E760D82" w14:textId="77777777" w:rsidR="00B07056" w:rsidRPr="000D4513" w:rsidRDefault="00B07056" w:rsidP="007061AD">
      <w:pPr>
        <w:pStyle w:val="Brdtekst"/>
      </w:pPr>
    </w:p>
    <w:p w14:paraId="71F11927" w14:textId="5D53EACC" w:rsidR="0011738A" w:rsidRPr="000D4513" w:rsidRDefault="00B07056" w:rsidP="007061AD">
      <w:pPr>
        <w:pStyle w:val="Brdtekst"/>
      </w:pPr>
      <w:r w:rsidRPr="000D4513">
        <w:t>Vigtigheden af e</w:t>
      </w:r>
      <w:r w:rsidR="00AF46D7" w:rsidRPr="000D4513">
        <w:t xml:space="preserve">n bred </w:t>
      </w:r>
      <w:r w:rsidR="00EA5268" w:rsidRPr="000D4513">
        <w:t>med</w:t>
      </w:r>
      <w:r w:rsidR="00AF46D7" w:rsidRPr="000D4513">
        <w:t xml:space="preserve">inddragelse </w:t>
      </w:r>
      <w:r w:rsidRPr="000D4513">
        <w:t xml:space="preserve">er dog fremhævet </w:t>
      </w:r>
      <w:r w:rsidR="0011738A" w:rsidRPr="000D4513">
        <w:t>i bemærkninger</w:t>
      </w:r>
      <w:r w:rsidRPr="000D4513">
        <w:t>ne</w:t>
      </w:r>
      <w:r w:rsidR="0011738A" w:rsidRPr="000D4513">
        <w:t xml:space="preserve"> til lovforslaget bag </w:t>
      </w:r>
      <w:r w:rsidR="00E9606A" w:rsidRPr="000D4513">
        <w:t>ændringsloven</w:t>
      </w:r>
      <w:r w:rsidR="0011738A" w:rsidRPr="000D4513">
        <w:t xml:space="preserve">. </w:t>
      </w:r>
      <w:r w:rsidRPr="000D4513">
        <w:t>Lovbemærkningerne indehold</w:t>
      </w:r>
      <w:r w:rsidR="002A69E7">
        <w:t>er</w:t>
      </w:r>
      <w:r w:rsidRPr="000D4513">
        <w:t xml:space="preserve"> </w:t>
      </w:r>
      <w:r w:rsidR="0011738A" w:rsidRPr="000D4513">
        <w:t>endvidere</w:t>
      </w:r>
      <w:r w:rsidRPr="000D4513">
        <w:t xml:space="preserve"> en henvisning til</w:t>
      </w:r>
      <w:r w:rsidR="0011738A" w:rsidRPr="000D4513">
        <w:t xml:space="preserve"> børnekonventionens artikel 12, </w:t>
      </w:r>
      <w:r w:rsidRPr="000D4513">
        <w:t xml:space="preserve">hvoraf det følger, </w:t>
      </w:r>
      <w:r w:rsidR="0011738A" w:rsidRPr="000D4513">
        <w:t xml:space="preserve">at børn har ret til at udtrykke sig og blive hørt, ligesom </w:t>
      </w:r>
      <w:r w:rsidRPr="000D4513">
        <w:t xml:space="preserve">det </w:t>
      </w:r>
      <w:r w:rsidR="002A69E7">
        <w:t>e</w:t>
      </w:r>
      <w:r w:rsidRPr="000D4513">
        <w:t xml:space="preserve">r anført, at </w:t>
      </w:r>
      <w:r w:rsidR="0011738A" w:rsidRPr="000D4513">
        <w:t xml:space="preserve">forældresamarbejde bl.a. følger af folkeskolelovens formålsbestemmelse. Endelig </w:t>
      </w:r>
      <w:r w:rsidR="002A69E7">
        <w:t>er</w:t>
      </w:r>
      <w:r w:rsidR="0011738A" w:rsidRPr="000D4513">
        <w:t xml:space="preserve"> det </w:t>
      </w:r>
      <w:r w:rsidRPr="000D4513">
        <w:t xml:space="preserve">i lovbemærkningerne </w:t>
      </w:r>
      <w:r w:rsidR="0011738A" w:rsidRPr="000D4513">
        <w:t xml:space="preserve">tilkendegivet, at selvom de </w:t>
      </w:r>
      <w:r w:rsidRPr="000D4513">
        <w:t xml:space="preserve">nye </w:t>
      </w:r>
      <w:r w:rsidR="0011738A" w:rsidRPr="000D4513">
        <w:t>krav i loven</w:t>
      </w:r>
      <w:r w:rsidRPr="000D4513">
        <w:t xml:space="preserve"> om udarbejdelse af strategien</w:t>
      </w:r>
      <w:r w:rsidR="0011738A" w:rsidRPr="000D4513">
        <w:t xml:space="preserve"> var rettet mod uddannelsesstedets ledelse, </w:t>
      </w:r>
      <w:r w:rsidR="002A69E7">
        <w:t>er</w:t>
      </w:r>
      <w:r w:rsidR="0011738A" w:rsidRPr="000D4513">
        <w:t xml:space="preserve"> det ikke tanken derved at udelukke inddragelse af uddannelsesstedets medarbejdere, elever, forældremyndighedsindehavere m.fl.</w:t>
      </w:r>
    </w:p>
    <w:p w14:paraId="495EE0B5" w14:textId="77777777" w:rsidR="002C0CDC" w:rsidRPr="000D4513" w:rsidRDefault="002C0CDC" w:rsidP="007061AD">
      <w:pPr>
        <w:pStyle w:val="Brdtekst"/>
      </w:pPr>
    </w:p>
    <w:p w14:paraId="57DF5D30" w14:textId="68A97689" w:rsidR="002C0CDC" w:rsidRPr="000D4513" w:rsidRDefault="002C0CDC" w:rsidP="007061AD">
      <w:pPr>
        <w:pStyle w:val="Brdtekst"/>
      </w:pPr>
      <w:r w:rsidRPr="000D4513">
        <w:t xml:space="preserve">Der er således intet, der i dag hindrer uddannelsesstederne i at tilrettelægge og gennemføre en </w:t>
      </w:r>
      <w:r w:rsidR="00EA5268" w:rsidRPr="000D4513">
        <w:t>bred</w:t>
      </w:r>
      <w:r w:rsidR="0028226B">
        <w:t xml:space="preserve"> og</w:t>
      </w:r>
      <w:r w:rsidR="00EA5268" w:rsidRPr="000D4513">
        <w:t xml:space="preserve"> med</w:t>
      </w:r>
      <w:r w:rsidRPr="000D4513">
        <w:t xml:space="preserve">inddragende proces i forbindelse med udarbejdelse af antimobbestrategien. </w:t>
      </w:r>
      <w:r w:rsidR="002A69E7">
        <w:t>Efter m</w:t>
      </w:r>
      <w:r w:rsidRPr="000D4513">
        <w:t>inisteret</w:t>
      </w:r>
      <w:r w:rsidR="002A69E7">
        <w:t>s</w:t>
      </w:r>
      <w:r w:rsidRPr="000D4513">
        <w:t xml:space="preserve"> </w:t>
      </w:r>
      <w:r w:rsidR="00BA7A45">
        <w:t xml:space="preserve">vurdering </w:t>
      </w:r>
      <w:r w:rsidR="002A69E7">
        <w:t>er</w:t>
      </w:r>
      <w:r w:rsidR="00EA5268" w:rsidRPr="000D4513">
        <w:t xml:space="preserve"> der</w:t>
      </w:r>
      <w:r w:rsidRPr="000D4513">
        <w:t xml:space="preserve"> med de beskrevne lovbemærkninger </w:t>
      </w:r>
      <w:r w:rsidR="002A69E7">
        <w:t>faktisk</w:t>
      </w:r>
      <w:r w:rsidR="00AF46D7" w:rsidRPr="000D4513">
        <w:t xml:space="preserve"> en klar forventning om, at bred inddragelse ville ske</w:t>
      </w:r>
      <w:r w:rsidR="00EA5268" w:rsidRPr="000D4513">
        <w:t xml:space="preserve"> alle steder</w:t>
      </w:r>
      <w:r w:rsidR="00AF46D7" w:rsidRPr="000D4513">
        <w:t>, men ud fra e</w:t>
      </w:r>
      <w:r w:rsidR="00EA5268" w:rsidRPr="000D4513">
        <w:t>t</w:t>
      </w:r>
      <w:r w:rsidR="00AF46D7" w:rsidRPr="000D4513">
        <w:t xml:space="preserve"> grundsyn om udstrakt metodefrihed baseret på de lokale forhold, </w:t>
      </w:r>
      <w:r w:rsidR="00EA5268" w:rsidRPr="000D4513">
        <w:t>institutions</w:t>
      </w:r>
      <w:r w:rsidR="00AF46D7" w:rsidRPr="000D4513">
        <w:t>type</w:t>
      </w:r>
      <w:r w:rsidR="00EA5268" w:rsidRPr="000D4513">
        <w:t xml:space="preserve"> m.v.</w:t>
      </w:r>
      <w:r w:rsidR="00AF46D7" w:rsidRPr="000D4513">
        <w:t>, og uden fastsættelse af egentlige proceskrav i lovgivningen.</w:t>
      </w:r>
    </w:p>
    <w:p w14:paraId="2F06E7AF" w14:textId="77777777" w:rsidR="00AF46D7" w:rsidRPr="000D4513" w:rsidRDefault="00AF46D7" w:rsidP="007061AD">
      <w:pPr>
        <w:pStyle w:val="Brdtekst"/>
      </w:pPr>
    </w:p>
    <w:p w14:paraId="36F2F7F8" w14:textId="38627A2A" w:rsidR="00AF46D7" w:rsidRPr="000D4513" w:rsidRDefault="0028226B" w:rsidP="007061AD">
      <w:pPr>
        <w:pStyle w:val="Brdtekst"/>
      </w:pPr>
      <w:r>
        <w:t>Ønskes et</w:t>
      </w:r>
      <w:r w:rsidR="00EA5268" w:rsidRPr="000D4513">
        <w:t xml:space="preserve"> grundsyn om metodefrihed baseret på de lokale forhold, institutionstype m.v. </w:t>
      </w:r>
      <w:r>
        <w:t xml:space="preserve">opretholdt, </w:t>
      </w:r>
      <w:r w:rsidR="003C2C0A" w:rsidRPr="000D4513">
        <w:t xml:space="preserve">vil </w:t>
      </w:r>
      <w:r>
        <w:t xml:space="preserve">det </w:t>
      </w:r>
      <w:r w:rsidR="0087148D" w:rsidRPr="000D4513">
        <w:t xml:space="preserve">formentlig </w:t>
      </w:r>
      <w:r w:rsidR="003C2C0A" w:rsidRPr="000D4513">
        <w:t xml:space="preserve">fortsat kunne imødekommes, hvis </w:t>
      </w:r>
      <w:r w:rsidR="0087148D" w:rsidRPr="000D4513">
        <w:t xml:space="preserve">krav </w:t>
      </w:r>
      <w:r w:rsidR="0087148D" w:rsidRPr="000D4513">
        <w:lastRenderedPageBreak/>
        <w:t xml:space="preserve">om </w:t>
      </w:r>
      <w:r w:rsidR="003C2C0A" w:rsidRPr="000D4513">
        <w:t xml:space="preserve">medinddragelse gøres til </w:t>
      </w:r>
      <w:r w:rsidR="0087148D" w:rsidRPr="000D4513">
        <w:t xml:space="preserve">et </w:t>
      </w:r>
      <w:r w:rsidR="003C2C0A" w:rsidRPr="000D4513">
        <w:t xml:space="preserve">mere håndfast </w:t>
      </w:r>
      <w:r w:rsidR="0087148D" w:rsidRPr="000D4513">
        <w:t>parameter</w:t>
      </w:r>
      <w:r w:rsidR="003C2C0A" w:rsidRPr="000D4513">
        <w:t xml:space="preserve"> i lovgivningen</w:t>
      </w:r>
      <w:r w:rsidR="002A69E7">
        <w:t xml:space="preserve"> og i forbindelse med en vejlednings- og informationsindsats</w:t>
      </w:r>
      <w:r w:rsidR="003C2C0A" w:rsidRPr="000D4513">
        <w:t xml:space="preserve">. Dette </w:t>
      </w:r>
      <w:r w:rsidR="002A69E7">
        <w:t>bør</w:t>
      </w:r>
      <w:r w:rsidR="003C2C0A" w:rsidRPr="000D4513">
        <w:t xml:space="preserve"> således indgå i de videre overvejelser.</w:t>
      </w:r>
    </w:p>
    <w:p w14:paraId="221FC54E" w14:textId="77777777" w:rsidR="003C2C0A" w:rsidRPr="000D4513" w:rsidRDefault="003C2C0A" w:rsidP="007061AD">
      <w:pPr>
        <w:pStyle w:val="Brdtekst"/>
      </w:pPr>
    </w:p>
    <w:p w14:paraId="37E0FD81" w14:textId="291037C5" w:rsidR="00A12F56" w:rsidRPr="000D4513" w:rsidRDefault="003C2C0A" w:rsidP="007061AD">
      <w:pPr>
        <w:pStyle w:val="Brdtekst"/>
        <w:rPr>
          <w:rFonts w:cstheme="minorBidi"/>
        </w:rPr>
      </w:pPr>
      <w:r w:rsidRPr="000D4513">
        <w:t xml:space="preserve">Med hensyn til anbefalingerne om, at det af loven kommer til at fremgå, at strategien skal indeholde et vist minimum af elementer, fx som anført at </w:t>
      </w:r>
      <w:r w:rsidRPr="000D4513">
        <w:rPr>
          <w:rFonts w:cstheme="minorBidi"/>
        </w:rPr>
        <w:t>gøre det obligatorisk at indskrive lovbestemmelserne om handlepligt</w:t>
      </w:r>
      <w:r w:rsidRPr="000D4513">
        <w:t xml:space="preserve"> og</w:t>
      </w:r>
      <w:r w:rsidRPr="000D4513">
        <w:rPr>
          <w:rFonts w:cstheme="minorBidi"/>
        </w:rPr>
        <w:t xml:space="preserve"> ret til at klage, bemærker ministeriet, at </w:t>
      </w:r>
      <w:r w:rsidR="00A12F56" w:rsidRPr="000D4513">
        <w:rPr>
          <w:rFonts w:cstheme="minorBidi"/>
        </w:rPr>
        <w:t xml:space="preserve">bemærkningerne til lovforslaget bag </w:t>
      </w:r>
      <w:r w:rsidR="00E9606A" w:rsidRPr="000D4513">
        <w:rPr>
          <w:rFonts w:cstheme="minorBidi"/>
        </w:rPr>
        <w:t>ændringsloven</w:t>
      </w:r>
      <w:r w:rsidR="00A12F56" w:rsidRPr="000D4513">
        <w:rPr>
          <w:rFonts w:cstheme="minorBidi"/>
        </w:rPr>
        <w:t xml:space="preserve"> også i denne henseende indeholdt ganske udførlige anvisninger vedrørende antimobbestrategiens forventede indhold</w:t>
      </w:r>
      <w:r w:rsidRPr="000D4513">
        <w:rPr>
          <w:rFonts w:cstheme="minorBidi"/>
        </w:rPr>
        <w:t xml:space="preserve">. </w:t>
      </w:r>
      <w:r w:rsidR="00A12F56" w:rsidRPr="000D4513">
        <w:rPr>
          <w:rFonts w:cstheme="minorBidi"/>
        </w:rPr>
        <w:t>Det fremg</w:t>
      </w:r>
      <w:r w:rsidR="002A69E7">
        <w:rPr>
          <w:rFonts w:cstheme="minorBidi"/>
        </w:rPr>
        <w:t>år</w:t>
      </w:r>
      <w:r w:rsidR="002A69E7" w:rsidRPr="002A69E7">
        <w:rPr>
          <w:rFonts w:cstheme="minorBidi"/>
        </w:rPr>
        <w:t xml:space="preserve"> </w:t>
      </w:r>
      <w:r w:rsidR="002A69E7">
        <w:rPr>
          <w:rFonts w:cstheme="minorBidi"/>
        </w:rPr>
        <w:t>således af forarbejder</w:t>
      </w:r>
      <w:r w:rsidR="00A12F56" w:rsidRPr="000D4513">
        <w:rPr>
          <w:rFonts w:cstheme="minorBidi"/>
        </w:rPr>
        <w:t>, at strategien skulle give fælles retningslinjer for arbejdet med mobning ved at beskrive</w:t>
      </w:r>
      <w:r w:rsidR="00B556E0" w:rsidRPr="000D4513">
        <w:rPr>
          <w:rFonts w:cstheme="minorBidi"/>
        </w:rPr>
        <w:t xml:space="preserve"> formålet med strategien,</w:t>
      </w:r>
      <w:r w:rsidR="00A12F56" w:rsidRPr="000D4513">
        <w:rPr>
          <w:rFonts w:cstheme="minorBidi"/>
        </w:rPr>
        <w:t xml:space="preserve"> hvordan uddannelsesstedets ledelse vil forebygge og håndtere mobning, uddannelsesstedets forståelse af centrale begreber som mobning og digital mobning, hvordan fx elever og forældremyndighedsindehavere inddrages</w:t>
      </w:r>
      <w:r w:rsidR="00B556E0" w:rsidRPr="000D4513">
        <w:rPr>
          <w:rFonts w:cstheme="minorBidi"/>
        </w:rPr>
        <w:t xml:space="preserve"> i processen</w:t>
      </w:r>
      <w:r w:rsidR="00A12F56" w:rsidRPr="000D4513">
        <w:rPr>
          <w:rFonts w:cstheme="minorBidi"/>
        </w:rPr>
        <w:t>, hvordan uddannelsesstedets ledelse løbende kan være opmærksomt på at opdage mobning</w:t>
      </w:r>
      <w:r w:rsidR="00B556E0" w:rsidRPr="000D4513">
        <w:rPr>
          <w:rFonts w:cstheme="minorBidi"/>
        </w:rPr>
        <w:t xml:space="preserve">, modeller for </w:t>
      </w:r>
      <w:r w:rsidR="00A12F56" w:rsidRPr="000D4513">
        <w:rPr>
          <w:rFonts w:cstheme="minorBidi"/>
        </w:rPr>
        <w:t>indgriben og genop</w:t>
      </w:r>
      <w:r w:rsidR="00B556E0" w:rsidRPr="000D4513">
        <w:rPr>
          <w:rFonts w:cstheme="minorBidi"/>
        </w:rPr>
        <w:t xml:space="preserve">rettelse i tilfælde af mobning, samt </w:t>
      </w:r>
      <w:r w:rsidR="00A12F56" w:rsidRPr="000D4513">
        <w:rPr>
          <w:rFonts w:cstheme="minorBidi"/>
        </w:rPr>
        <w:t xml:space="preserve">hvem på uddannelsesstedet, </w:t>
      </w:r>
      <w:r w:rsidR="00B556E0" w:rsidRPr="000D4513">
        <w:rPr>
          <w:rFonts w:cstheme="minorBidi"/>
        </w:rPr>
        <w:t>der</w:t>
      </w:r>
      <w:r w:rsidR="00A12F56" w:rsidRPr="000D4513">
        <w:rPr>
          <w:rFonts w:cstheme="minorBidi"/>
        </w:rPr>
        <w:t xml:space="preserve"> er ansvarlige for at viderebringe bekymringer eller klager.</w:t>
      </w:r>
    </w:p>
    <w:p w14:paraId="4D6A123B" w14:textId="77777777" w:rsidR="00A12F56" w:rsidRPr="000D4513" w:rsidRDefault="00A12F56" w:rsidP="007061AD">
      <w:pPr>
        <w:pStyle w:val="Brdtekst"/>
        <w:rPr>
          <w:rFonts w:cstheme="minorBidi"/>
        </w:rPr>
      </w:pPr>
    </w:p>
    <w:p w14:paraId="794A4F80" w14:textId="1C53010C" w:rsidR="00082610" w:rsidRPr="000D4513" w:rsidRDefault="00B556E0" w:rsidP="007061AD">
      <w:pPr>
        <w:pStyle w:val="Brdtekst"/>
      </w:pPr>
      <w:r w:rsidRPr="000D4513">
        <w:t>Der var dog også i denne henseende en vis forventning om, at strategierne</w:t>
      </w:r>
      <w:r w:rsidR="00170ADC" w:rsidRPr="000D4513">
        <w:t>s</w:t>
      </w:r>
      <w:r w:rsidRPr="000D4513">
        <w:t xml:space="preserve"> </w:t>
      </w:r>
      <w:r w:rsidR="00606DAF">
        <w:t>ind</w:t>
      </w:r>
      <w:r w:rsidR="00082610" w:rsidRPr="000D4513">
        <w:t xml:space="preserve">hold </w:t>
      </w:r>
      <w:r w:rsidRPr="000D4513">
        <w:t xml:space="preserve">i </w:t>
      </w:r>
      <w:r w:rsidR="00170ADC" w:rsidRPr="000D4513">
        <w:t>højere grad</w:t>
      </w:r>
      <w:r w:rsidRPr="000D4513">
        <w:t xml:space="preserve"> </w:t>
      </w:r>
      <w:r w:rsidR="00082610" w:rsidRPr="000D4513">
        <w:t>ville tage udgangspunkt i de elementer, som indgik i lovbemærkningerne</w:t>
      </w:r>
      <w:r w:rsidR="00170ADC" w:rsidRPr="000D4513">
        <w:t>, end det fremgår af Epinions evaluering</w:t>
      </w:r>
      <w:r w:rsidR="00082610" w:rsidRPr="000D4513">
        <w:t xml:space="preserve">. </w:t>
      </w:r>
    </w:p>
    <w:p w14:paraId="32D8DB2F" w14:textId="77777777" w:rsidR="00082610" w:rsidRPr="000D4513" w:rsidRDefault="00082610" w:rsidP="007061AD">
      <w:pPr>
        <w:pStyle w:val="Brdtekst"/>
      </w:pPr>
    </w:p>
    <w:p w14:paraId="2FA68DAD" w14:textId="4B7CC051" w:rsidR="00E241C6" w:rsidRPr="000D4513" w:rsidRDefault="00784B9F" w:rsidP="007061AD">
      <w:pPr>
        <w:pStyle w:val="Brdtekst"/>
      </w:pPr>
      <w:r>
        <w:t>E</w:t>
      </w:r>
      <w:r w:rsidR="00B556E0" w:rsidRPr="000D4513">
        <w:t>t af dilemmaerne ved at fast</w:t>
      </w:r>
      <w:r w:rsidR="004756B7" w:rsidRPr="000D4513">
        <w:t>s</w:t>
      </w:r>
      <w:r w:rsidR="00B556E0" w:rsidRPr="000D4513">
        <w:t xml:space="preserve">ætte fikserede minimumskrav </w:t>
      </w:r>
      <w:r w:rsidR="00DA5804">
        <w:t>kan</w:t>
      </w:r>
      <w:r w:rsidR="00BA7A45">
        <w:t xml:space="preserve"> </w:t>
      </w:r>
      <w:r w:rsidR="00B556E0" w:rsidRPr="000D4513">
        <w:t>ofte</w:t>
      </w:r>
      <w:r w:rsidR="00DA5804">
        <w:t xml:space="preserve"> være</w:t>
      </w:r>
      <w:r w:rsidR="00B556E0" w:rsidRPr="000D4513">
        <w:t>, at minimum bli</w:t>
      </w:r>
      <w:r w:rsidR="00424A82" w:rsidRPr="000D4513">
        <w:t xml:space="preserve">ver til maksimum og standard. På den anden side kan det </w:t>
      </w:r>
      <w:r w:rsidR="00082610" w:rsidRPr="000D4513">
        <w:t>ikke udelukkes, at det v</w:t>
      </w:r>
      <w:r w:rsidR="00424A82" w:rsidRPr="000D4513">
        <w:t>il kunne være hensigtsmæssigt med</w:t>
      </w:r>
      <w:r w:rsidR="00082610" w:rsidRPr="000D4513">
        <w:t xml:space="preserve"> yderligere kvalificering/beskr</w:t>
      </w:r>
      <w:r w:rsidR="004756B7" w:rsidRPr="000D4513">
        <w:t xml:space="preserve">ivelse </w:t>
      </w:r>
      <w:r w:rsidR="00424A82" w:rsidRPr="000D4513">
        <w:t xml:space="preserve">i selve lovgivningen </w:t>
      </w:r>
      <w:r w:rsidR="004756B7" w:rsidRPr="000D4513">
        <w:t xml:space="preserve">af, hvilke </w:t>
      </w:r>
      <w:r w:rsidR="00082610" w:rsidRPr="000D4513">
        <w:t>centrale elementer</w:t>
      </w:r>
      <w:r w:rsidR="004756B7" w:rsidRPr="000D4513">
        <w:t xml:space="preserve"> strategien</w:t>
      </w:r>
      <w:r w:rsidR="00606DAF">
        <w:t xml:space="preserve"> der kan overvejes ved udarbejdelse af strategien såsom</w:t>
      </w:r>
      <w:r w:rsidR="00DA5804">
        <w:t xml:space="preserve"> </w:t>
      </w:r>
      <w:r w:rsidR="00082610" w:rsidRPr="000D4513">
        <w:t>formål, målsætning</w:t>
      </w:r>
      <w:r w:rsidR="00424A82" w:rsidRPr="000D4513">
        <w:t>er</w:t>
      </w:r>
      <w:r w:rsidR="004756B7" w:rsidRPr="000D4513">
        <w:t>, tiltag til forebyggelse af mobning og tiltag ved konstatering af mobning.</w:t>
      </w:r>
      <w:r w:rsidR="00DA5804">
        <w:t xml:space="preserve"> Dette vil understøtte tilkendegivelserne i evalueringen og høringen, hvor sådanne elementer efterlyses, og hvor det dokumenteres, at fraværet fører til uklarheder.</w:t>
      </w:r>
    </w:p>
    <w:p w14:paraId="74D2C907" w14:textId="77777777" w:rsidR="00E241C6" w:rsidRPr="000D4513" w:rsidRDefault="00E241C6" w:rsidP="007061AD">
      <w:pPr>
        <w:pStyle w:val="Brdtekst"/>
      </w:pPr>
    </w:p>
    <w:p w14:paraId="445D7350" w14:textId="2500AF59" w:rsidR="00B556E0" w:rsidRPr="000D4513" w:rsidRDefault="00080560" w:rsidP="007061AD">
      <w:pPr>
        <w:pStyle w:val="Brdtekst"/>
        <w:rPr>
          <w:rFonts w:cstheme="minorBidi"/>
        </w:rPr>
      </w:pPr>
      <w:r w:rsidRPr="000D4513">
        <w:t xml:space="preserve">Ministeriet bemærker i øvrigt hertil, at </w:t>
      </w:r>
      <w:r w:rsidR="00DA5804">
        <w:t>elementer</w:t>
      </w:r>
      <w:r w:rsidR="00E241C6" w:rsidRPr="000D4513">
        <w:t xml:space="preserve"> af denne karakter</w:t>
      </w:r>
      <w:r w:rsidRPr="000D4513">
        <w:t xml:space="preserve"> allerede indgår i undervisningsmiljølovens § 7, stk. 1, </w:t>
      </w:r>
      <w:r w:rsidR="00BA7A45">
        <w:t>s</w:t>
      </w:r>
      <w:r w:rsidRPr="000D4513">
        <w:t xml:space="preserve">om </w:t>
      </w:r>
      <w:r w:rsidR="00BA7A45">
        <w:t xml:space="preserve">fastsætter, </w:t>
      </w:r>
      <w:r w:rsidR="00DA5804">
        <w:rPr>
          <w:rFonts w:eastAsiaTheme="minorHAnsi" w:cstheme="minorBidi"/>
          <w:szCs w:val="22"/>
          <w:lang w:eastAsia="en-US"/>
        </w:rPr>
        <w:t>hvad</w:t>
      </w:r>
      <w:r w:rsidR="00DA5804" w:rsidRPr="000D4513">
        <w:t xml:space="preserve"> </w:t>
      </w:r>
      <w:r w:rsidRPr="000D4513">
        <w:t xml:space="preserve">en </w:t>
      </w:r>
      <w:r w:rsidRPr="000D4513">
        <w:rPr>
          <w:rFonts w:eastAsiaTheme="minorHAnsi" w:cstheme="minorBidi"/>
          <w:szCs w:val="22"/>
          <w:lang w:eastAsia="en-US"/>
        </w:rPr>
        <w:t xml:space="preserve">undervisningsmiljøvurdering mindst skal indeholde. </w:t>
      </w:r>
    </w:p>
    <w:p w14:paraId="501DAAB7" w14:textId="77777777" w:rsidR="00B556E0" w:rsidRPr="000D4513" w:rsidRDefault="00B556E0" w:rsidP="007061AD">
      <w:pPr>
        <w:pStyle w:val="Brdtekst"/>
        <w:rPr>
          <w:rFonts w:cstheme="minorBidi"/>
        </w:rPr>
      </w:pPr>
    </w:p>
    <w:p w14:paraId="1D2B027A" w14:textId="4069E15F" w:rsidR="00CA3F15" w:rsidRPr="000D4513" w:rsidRDefault="003C2C0A" w:rsidP="007061AD">
      <w:pPr>
        <w:pStyle w:val="Brdtekst"/>
        <w:rPr>
          <w:rFonts w:cstheme="minorBidi"/>
        </w:rPr>
      </w:pPr>
      <w:r w:rsidRPr="000D4513">
        <w:rPr>
          <w:rFonts w:cstheme="minorBidi"/>
        </w:rPr>
        <w:t>Med hensyn til anbefalingerne om, at strategien s</w:t>
      </w:r>
      <w:r w:rsidR="00CA3F15" w:rsidRPr="000D4513">
        <w:rPr>
          <w:rFonts w:cstheme="minorBidi"/>
        </w:rPr>
        <w:t>k</w:t>
      </w:r>
      <w:r w:rsidRPr="000D4513">
        <w:rPr>
          <w:rFonts w:cstheme="minorBidi"/>
        </w:rPr>
        <w:t xml:space="preserve">al opdateres med fikserede mellemrum, </w:t>
      </w:r>
      <w:r w:rsidR="00CA3F15" w:rsidRPr="000D4513">
        <w:rPr>
          <w:rFonts w:cstheme="minorBidi"/>
        </w:rPr>
        <w:t>bemærker</w:t>
      </w:r>
      <w:r w:rsidRPr="000D4513">
        <w:rPr>
          <w:rFonts w:cstheme="minorBidi"/>
        </w:rPr>
        <w:t xml:space="preserve"> ministeriet</w:t>
      </w:r>
      <w:r w:rsidR="00CA3F15" w:rsidRPr="000D4513">
        <w:rPr>
          <w:rFonts w:cstheme="minorBidi"/>
        </w:rPr>
        <w:t xml:space="preserve">, at det i bemærkningerne til lovforslaget bag </w:t>
      </w:r>
      <w:r w:rsidR="00E9606A" w:rsidRPr="000D4513">
        <w:rPr>
          <w:rFonts w:cstheme="minorBidi"/>
        </w:rPr>
        <w:t>ændringsloven</w:t>
      </w:r>
      <w:r w:rsidR="00CA3F15" w:rsidRPr="000D4513">
        <w:rPr>
          <w:rFonts w:cstheme="minorBidi"/>
        </w:rPr>
        <w:t xml:space="preserve"> </w:t>
      </w:r>
      <w:r w:rsidR="00424A82" w:rsidRPr="000D4513">
        <w:rPr>
          <w:rFonts w:cstheme="minorBidi"/>
        </w:rPr>
        <w:t>til</w:t>
      </w:r>
      <w:r w:rsidR="00CA3F15" w:rsidRPr="000D4513">
        <w:rPr>
          <w:rFonts w:cstheme="minorBidi"/>
        </w:rPr>
        <w:t xml:space="preserve"> det eksisterende krav om, at strategien revideres efter behov, er tilkendegivet, at det ofte vil være hensigtsmæssigt at tage strategien op på et årligt møde og drøfte, om der er behov for at revidere den. Det </w:t>
      </w:r>
      <w:r w:rsidR="00424A82" w:rsidRPr="000D4513">
        <w:rPr>
          <w:rFonts w:cstheme="minorBidi"/>
        </w:rPr>
        <w:t>fremg</w:t>
      </w:r>
      <w:r w:rsidR="00784B9F">
        <w:rPr>
          <w:rFonts w:cstheme="minorBidi"/>
        </w:rPr>
        <w:t>år</w:t>
      </w:r>
      <w:r w:rsidR="00424A82" w:rsidRPr="000D4513">
        <w:rPr>
          <w:rFonts w:cstheme="minorBidi"/>
        </w:rPr>
        <w:t xml:space="preserve">, at dette </w:t>
      </w:r>
      <w:r w:rsidR="00CA3F15" w:rsidRPr="000D4513">
        <w:rPr>
          <w:rFonts w:cstheme="minorBidi"/>
        </w:rPr>
        <w:t xml:space="preserve">fx </w:t>
      </w:r>
      <w:r w:rsidR="00DA5804">
        <w:rPr>
          <w:rFonts w:cstheme="minorBidi"/>
        </w:rPr>
        <w:t xml:space="preserve">kan </w:t>
      </w:r>
      <w:r w:rsidR="00CA3F15" w:rsidRPr="000D4513">
        <w:rPr>
          <w:rFonts w:cstheme="minorBidi"/>
        </w:rPr>
        <w:t xml:space="preserve">være på baggrund af resultater fra trivselsmålingen eller fra konkrete situationer i det forgangne år. </w:t>
      </w:r>
      <w:r w:rsidR="00E457FD" w:rsidRPr="000D4513">
        <w:rPr>
          <w:rFonts w:cstheme="minorBidi"/>
        </w:rPr>
        <w:t xml:space="preserve">Det </w:t>
      </w:r>
      <w:r w:rsidR="00784B9F">
        <w:rPr>
          <w:rFonts w:cstheme="minorBidi"/>
        </w:rPr>
        <w:t>fremhæves</w:t>
      </w:r>
      <w:r w:rsidR="00E457FD" w:rsidRPr="000D4513">
        <w:rPr>
          <w:rFonts w:cstheme="minorBidi"/>
        </w:rPr>
        <w:t xml:space="preserve"> endvidere, at </w:t>
      </w:r>
      <w:r w:rsidR="00CA3F15" w:rsidRPr="000D4513">
        <w:rPr>
          <w:rFonts w:cstheme="minorBidi"/>
        </w:rPr>
        <w:t>tanken</w:t>
      </w:r>
      <w:r w:rsidR="00E457FD" w:rsidRPr="000D4513">
        <w:rPr>
          <w:rFonts w:cstheme="minorBidi"/>
        </w:rPr>
        <w:t xml:space="preserve"> ikke var, at strategien skulle</w:t>
      </w:r>
      <w:r w:rsidR="00CA3F15" w:rsidRPr="000D4513">
        <w:rPr>
          <w:rFonts w:cstheme="minorBidi"/>
        </w:rPr>
        <w:t xml:space="preserve"> udarbejdes på ny, men blot at den </w:t>
      </w:r>
      <w:r w:rsidR="00E457FD" w:rsidRPr="000D4513">
        <w:rPr>
          <w:rFonts w:cstheme="minorBidi"/>
        </w:rPr>
        <w:t xml:space="preserve">skulle </w:t>
      </w:r>
      <w:r w:rsidR="00CA3F15" w:rsidRPr="000D4513">
        <w:rPr>
          <w:rFonts w:cstheme="minorBidi"/>
        </w:rPr>
        <w:t xml:space="preserve">justeres, hvis det </w:t>
      </w:r>
      <w:r w:rsidR="00E457FD" w:rsidRPr="000D4513">
        <w:rPr>
          <w:rFonts w:cstheme="minorBidi"/>
        </w:rPr>
        <w:t xml:space="preserve">blev fundet </w:t>
      </w:r>
      <w:r w:rsidR="00CA3F15" w:rsidRPr="000D4513">
        <w:rPr>
          <w:rFonts w:cstheme="minorBidi"/>
        </w:rPr>
        <w:t>nødvendigt.</w:t>
      </w:r>
    </w:p>
    <w:p w14:paraId="160ACD8D" w14:textId="77777777" w:rsidR="00E457FD" w:rsidRPr="000D4513" w:rsidRDefault="00E457FD" w:rsidP="007061AD">
      <w:pPr>
        <w:pStyle w:val="Brdtekst"/>
        <w:rPr>
          <w:rFonts w:cstheme="minorBidi"/>
        </w:rPr>
      </w:pPr>
    </w:p>
    <w:p w14:paraId="786A71D2" w14:textId="2D26F6D0" w:rsidR="007C7C78" w:rsidRPr="000D4513" w:rsidRDefault="00784B9F" w:rsidP="007061AD">
      <w:pPr>
        <w:pStyle w:val="Brdtekst"/>
        <w:rPr>
          <w:rFonts w:cstheme="minorBidi"/>
        </w:rPr>
      </w:pPr>
      <w:r>
        <w:rPr>
          <w:rFonts w:cstheme="minorBidi"/>
        </w:rPr>
        <w:t>N</w:t>
      </w:r>
      <w:r w:rsidR="00CD7108" w:rsidRPr="000D4513">
        <w:rPr>
          <w:rFonts w:cstheme="minorBidi"/>
        </w:rPr>
        <w:t>år vurderingen</w:t>
      </w:r>
      <w:r w:rsidR="00472976" w:rsidRPr="000D4513">
        <w:rPr>
          <w:rFonts w:cstheme="minorBidi"/>
        </w:rPr>
        <w:t xml:space="preserve"> i forbindelse med lovændringen</w:t>
      </w:r>
      <w:r w:rsidR="00CD7108" w:rsidRPr="000D4513">
        <w:rPr>
          <w:rFonts w:cstheme="minorBidi"/>
        </w:rPr>
        <w:t xml:space="preserve"> var, at det ofte ville være hensigtsmæssigt at genbesøge strategien</w:t>
      </w:r>
      <w:r w:rsidR="00DF68CA" w:rsidRPr="000D4513">
        <w:rPr>
          <w:rFonts w:cstheme="minorBidi"/>
        </w:rPr>
        <w:t xml:space="preserve"> på</w:t>
      </w:r>
      <w:r w:rsidR="00CD7108" w:rsidRPr="000D4513">
        <w:rPr>
          <w:rFonts w:cstheme="minorBidi"/>
        </w:rPr>
        <w:t xml:space="preserve"> </w:t>
      </w:r>
      <w:r w:rsidR="00DF68CA" w:rsidRPr="000D4513">
        <w:rPr>
          <w:rFonts w:cstheme="minorBidi"/>
        </w:rPr>
        <w:t>årlig basis</w:t>
      </w:r>
      <w:r w:rsidR="00CD7108" w:rsidRPr="000D4513">
        <w:rPr>
          <w:rFonts w:cstheme="minorBidi"/>
        </w:rPr>
        <w:t xml:space="preserve">, kunne dette formentlig lige så godt have været reglen. </w:t>
      </w:r>
      <w:r w:rsidR="007C7C78" w:rsidRPr="000D4513">
        <w:rPr>
          <w:rFonts w:cstheme="minorBidi"/>
        </w:rPr>
        <w:t>Ministeret bemærker også, at periodefikserede opdateringskrav ikke er artfremmede i undervisningsmiljøloven, jf. herved lovens § 6, stk. 3, hvorefter en undervisningsmiljøvurdering skal revideres, når der sker ændringer, der har betydning for undervisningsmiljøet, dog mindst hvert tredje år.</w:t>
      </w:r>
    </w:p>
    <w:p w14:paraId="044C1089" w14:textId="77777777" w:rsidR="007C7C78" w:rsidRPr="000D4513" w:rsidRDefault="007C7C78" w:rsidP="007061AD">
      <w:pPr>
        <w:pStyle w:val="Brdtekst"/>
        <w:rPr>
          <w:rFonts w:cstheme="minorBidi"/>
        </w:rPr>
      </w:pPr>
    </w:p>
    <w:p w14:paraId="377C5BC9" w14:textId="64A1340A" w:rsidR="00E457FD" w:rsidRPr="000D4513" w:rsidRDefault="00F40066" w:rsidP="007061AD">
      <w:pPr>
        <w:pStyle w:val="Brdtekst"/>
        <w:rPr>
          <w:rFonts w:cstheme="minorBidi"/>
        </w:rPr>
      </w:pPr>
      <w:r w:rsidRPr="000D4513">
        <w:rPr>
          <w:rFonts w:cstheme="minorBidi"/>
        </w:rPr>
        <w:t xml:space="preserve">Et </w:t>
      </w:r>
      <w:r w:rsidR="00DF68CA" w:rsidRPr="000D4513">
        <w:rPr>
          <w:rFonts w:cstheme="minorBidi"/>
        </w:rPr>
        <w:t>lovgivnings</w:t>
      </w:r>
      <w:r w:rsidRPr="000D4513">
        <w:rPr>
          <w:rFonts w:cstheme="minorBidi"/>
        </w:rPr>
        <w:t>krav</w:t>
      </w:r>
      <w:r w:rsidR="00DF68CA" w:rsidRPr="000D4513">
        <w:rPr>
          <w:rFonts w:cstheme="minorBidi"/>
        </w:rPr>
        <w:t xml:space="preserve"> </w:t>
      </w:r>
      <w:r w:rsidRPr="000D4513">
        <w:rPr>
          <w:rFonts w:cstheme="minorBidi"/>
        </w:rPr>
        <w:t xml:space="preserve">om en periodiseret </w:t>
      </w:r>
      <w:r w:rsidR="00CD7108" w:rsidRPr="000D4513">
        <w:rPr>
          <w:rFonts w:cstheme="minorBidi"/>
        </w:rPr>
        <w:t>gennemgang</w:t>
      </w:r>
      <w:r w:rsidR="00DF68CA" w:rsidRPr="000D4513">
        <w:rPr>
          <w:rFonts w:cstheme="minorBidi"/>
        </w:rPr>
        <w:t xml:space="preserve"> af strategien (fx årligt)</w:t>
      </w:r>
      <w:r w:rsidR="00CD7108" w:rsidRPr="000D4513">
        <w:rPr>
          <w:rFonts w:cstheme="minorBidi"/>
        </w:rPr>
        <w:t>, hvor</w:t>
      </w:r>
      <w:r w:rsidR="00DF68CA" w:rsidRPr="000D4513">
        <w:rPr>
          <w:rFonts w:cstheme="minorBidi"/>
        </w:rPr>
        <w:t xml:space="preserve"> </w:t>
      </w:r>
      <w:r w:rsidR="00472976" w:rsidRPr="000D4513">
        <w:rPr>
          <w:rFonts w:cstheme="minorBidi"/>
        </w:rPr>
        <w:t>bl.a.</w:t>
      </w:r>
      <w:r w:rsidR="00CD7108" w:rsidRPr="000D4513">
        <w:rPr>
          <w:rFonts w:cstheme="minorBidi"/>
        </w:rPr>
        <w:t xml:space="preserve"> de mobbesager, som </w:t>
      </w:r>
      <w:r w:rsidR="00DF68CA" w:rsidRPr="000D4513">
        <w:rPr>
          <w:rFonts w:cstheme="minorBidi"/>
        </w:rPr>
        <w:t>uddannelsesstedet</w:t>
      </w:r>
      <w:r w:rsidR="00CD7108" w:rsidRPr="000D4513">
        <w:rPr>
          <w:rFonts w:cstheme="minorBidi"/>
        </w:rPr>
        <w:t xml:space="preserve"> har </w:t>
      </w:r>
      <w:r w:rsidRPr="000D4513">
        <w:rPr>
          <w:rFonts w:cstheme="minorBidi"/>
        </w:rPr>
        <w:t xml:space="preserve">haft i </w:t>
      </w:r>
      <w:r w:rsidR="00CD7108" w:rsidRPr="000D4513">
        <w:rPr>
          <w:rFonts w:cstheme="minorBidi"/>
        </w:rPr>
        <w:t>den forløbne</w:t>
      </w:r>
      <w:r w:rsidRPr="000D4513">
        <w:rPr>
          <w:rFonts w:cstheme="minorBidi"/>
        </w:rPr>
        <w:t xml:space="preserve"> periode, </w:t>
      </w:r>
      <w:r w:rsidR="00DF68CA" w:rsidRPr="000D4513">
        <w:rPr>
          <w:rFonts w:cstheme="minorBidi"/>
        </w:rPr>
        <w:t>kunne drøftes samlet og systematisk</w:t>
      </w:r>
      <w:r w:rsidRPr="000D4513">
        <w:rPr>
          <w:rFonts w:cstheme="minorBidi"/>
        </w:rPr>
        <w:t xml:space="preserve">, forekommer </w:t>
      </w:r>
      <w:r w:rsidR="00DF68CA" w:rsidRPr="000D4513">
        <w:rPr>
          <w:rFonts w:cstheme="minorBidi"/>
        </w:rPr>
        <w:t>umiddelbart</w:t>
      </w:r>
      <w:r w:rsidRPr="000D4513">
        <w:rPr>
          <w:rFonts w:cstheme="minorBidi"/>
        </w:rPr>
        <w:t xml:space="preserve"> </w:t>
      </w:r>
      <w:r w:rsidR="00784B9F">
        <w:rPr>
          <w:rFonts w:cstheme="minorBidi"/>
        </w:rPr>
        <w:t>at være</w:t>
      </w:r>
      <w:r w:rsidR="00DF68CA" w:rsidRPr="000D4513">
        <w:rPr>
          <w:rFonts w:cstheme="minorBidi"/>
        </w:rPr>
        <w:t xml:space="preserve"> en naturlig og rimelig foranstaltning</w:t>
      </w:r>
      <w:r w:rsidR="00472976" w:rsidRPr="000D4513">
        <w:rPr>
          <w:rFonts w:cstheme="minorBidi"/>
        </w:rPr>
        <w:t xml:space="preserve">. </w:t>
      </w:r>
      <w:r w:rsidR="00784B9F">
        <w:rPr>
          <w:rFonts w:cstheme="minorBidi"/>
        </w:rPr>
        <w:t>Dette vil på den ene</w:t>
      </w:r>
      <w:r w:rsidR="00DF68CA" w:rsidRPr="000D4513">
        <w:rPr>
          <w:rFonts w:cstheme="minorBidi"/>
        </w:rPr>
        <w:t xml:space="preserve"> side ressourcemæssig</w:t>
      </w:r>
      <w:r w:rsidR="00BA7A45">
        <w:rPr>
          <w:rFonts w:cstheme="minorBidi"/>
        </w:rPr>
        <w:t>t</w:t>
      </w:r>
      <w:r w:rsidR="00DF68CA" w:rsidRPr="000D4513">
        <w:rPr>
          <w:rFonts w:cstheme="minorBidi"/>
        </w:rPr>
        <w:t xml:space="preserve"> ikke trække store veksler på uddannelsesstedet, </w:t>
      </w:r>
      <w:r w:rsidR="00784B9F">
        <w:rPr>
          <w:rFonts w:cstheme="minorBidi"/>
        </w:rPr>
        <w:t xml:space="preserve">og </w:t>
      </w:r>
      <w:r w:rsidR="00DA5804">
        <w:rPr>
          <w:rFonts w:cstheme="minorBidi"/>
        </w:rPr>
        <w:t xml:space="preserve">det </w:t>
      </w:r>
      <w:r w:rsidR="00784B9F">
        <w:rPr>
          <w:rFonts w:cstheme="minorBidi"/>
        </w:rPr>
        <w:t>vil på den anden side</w:t>
      </w:r>
      <w:r w:rsidR="00472976" w:rsidRPr="000D4513">
        <w:rPr>
          <w:rFonts w:cstheme="minorBidi"/>
        </w:rPr>
        <w:t xml:space="preserve"> </w:t>
      </w:r>
      <w:r w:rsidR="00DF68CA" w:rsidRPr="000D4513">
        <w:rPr>
          <w:rFonts w:cstheme="minorBidi"/>
        </w:rPr>
        <w:lastRenderedPageBreak/>
        <w:t>give mulighed for at sikre</w:t>
      </w:r>
      <w:r w:rsidR="00472976" w:rsidRPr="000D4513">
        <w:rPr>
          <w:rFonts w:cstheme="minorBidi"/>
        </w:rPr>
        <w:t>,</w:t>
      </w:r>
      <w:r w:rsidR="00DF68CA" w:rsidRPr="000D4513">
        <w:rPr>
          <w:rFonts w:cstheme="minorBidi"/>
        </w:rPr>
        <w:t xml:space="preserve"> at </w:t>
      </w:r>
      <w:r w:rsidR="00472976" w:rsidRPr="000D4513">
        <w:rPr>
          <w:rFonts w:cstheme="minorBidi"/>
        </w:rPr>
        <w:t>strategiens</w:t>
      </w:r>
      <w:r w:rsidR="00DF68CA" w:rsidRPr="000D4513">
        <w:rPr>
          <w:rFonts w:cstheme="minorBidi"/>
        </w:rPr>
        <w:t xml:space="preserve"> målsætninger opfylde</w:t>
      </w:r>
      <w:r w:rsidR="00472976" w:rsidRPr="000D4513">
        <w:rPr>
          <w:rFonts w:cstheme="minorBidi"/>
        </w:rPr>
        <w:t>s</w:t>
      </w:r>
      <w:r w:rsidR="00DF68CA" w:rsidRPr="000D4513">
        <w:rPr>
          <w:rFonts w:cstheme="minorBidi"/>
        </w:rPr>
        <w:t xml:space="preserve">, </w:t>
      </w:r>
      <w:r w:rsidR="00784B9F">
        <w:rPr>
          <w:rFonts w:cstheme="minorBidi"/>
        </w:rPr>
        <w:t>herunder</w:t>
      </w:r>
      <w:r w:rsidR="00DF68CA" w:rsidRPr="000D4513">
        <w:rPr>
          <w:rFonts w:cstheme="minorBidi"/>
        </w:rPr>
        <w:t xml:space="preserve"> ikke mindst </w:t>
      </w:r>
      <w:r w:rsidR="00472976" w:rsidRPr="000D4513">
        <w:rPr>
          <w:rFonts w:cstheme="minorBidi"/>
        </w:rPr>
        <w:t xml:space="preserve">mulighed for </w:t>
      </w:r>
      <w:r w:rsidR="00DF68CA" w:rsidRPr="000D4513">
        <w:rPr>
          <w:rFonts w:cstheme="minorBidi"/>
        </w:rPr>
        <w:t>at identificere og agere på fællestræk eller ligefrem mønstre i</w:t>
      </w:r>
      <w:r w:rsidR="00472976" w:rsidRPr="000D4513">
        <w:rPr>
          <w:rFonts w:cstheme="minorBidi"/>
        </w:rPr>
        <w:t xml:space="preserve"> periodens</w:t>
      </w:r>
      <w:r w:rsidR="00DF68CA" w:rsidRPr="000D4513">
        <w:rPr>
          <w:rFonts w:cstheme="minorBidi"/>
        </w:rPr>
        <w:t xml:space="preserve"> mobbesager, som </w:t>
      </w:r>
      <w:r w:rsidR="00472976" w:rsidRPr="000D4513">
        <w:rPr>
          <w:rFonts w:cstheme="minorBidi"/>
        </w:rPr>
        <w:t xml:space="preserve">eventuelt </w:t>
      </w:r>
      <w:r w:rsidR="00DF68CA" w:rsidRPr="000D4513">
        <w:rPr>
          <w:rFonts w:cstheme="minorBidi"/>
        </w:rPr>
        <w:t>ikke er til</w:t>
      </w:r>
      <w:r w:rsidR="00472976" w:rsidRPr="000D4513">
        <w:rPr>
          <w:rFonts w:cstheme="minorBidi"/>
        </w:rPr>
        <w:t>strækkeligt adresseret i den eksisterende strategi og/eller i de redskaber mod mobning, som uddannelsesstedet benytter sig af.</w:t>
      </w:r>
      <w:r w:rsidR="007C7C78" w:rsidRPr="000D4513">
        <w:rPr>
          <w:rFonts w:cstheme="minorBidi"/>
        </w:rPr>
        <w:t xml:space="preserve"> </w:t>
      </w:r>
    </w:p>
    <w:p w14:paraId="72427A21" w14:textId="474F8B34" w:rsidR="00490694" w:rsidRPr="000D4513" w:rsidRDefault="00490694" w:rsidP="007061AD">
      <w:pPr>
        <w:pStyle w:val="Brdtekst"/>
      </w:pPr>
    </w:p>
    <w:p w14:paraId="7B542BC3" w14:textId="4C3FDCAB" w:rsidR="00082610" w:rsidRPr="000D4513" w:rsidRDefault="00490694" w:rsidP="00082610">
      <w:pPr>
        <w:pStyle w:val="Brdtekst"/>
        <w:rPr>
          <w:u w:val="single"/>
        </w:rPr>
      </w:pPr>
      <w:r w:rsidRPr="000D4513">
        <w:rPr>
          <w:u w:val="single"/>
        </w:rPr>
        <w:t>Vejledning til loven</w:t>
      </w:r>
      <w:r w:rsidR="00082610" w:rsidRPr="000D4513">
        <w:rPr>
          <w:u w:val="single"/>
        </w:rPr>
        <w:t>, videnløft m.v.</w:t>
      </w:r>
    </w:p>
    <w:p w14:paraId="79FB8109" w14:textId="681D587E" w:rsidR="00550E64" w:rsidRPr="000D4513" w:rsidRDefault="00550E64" w:rsidP="00550E64">
      <w:pPr>
        <w:pStyle w:val="Brdtekst"/>
      </w:pPr>
      <w:r w:rsidRPr="000D4513">
        <w:t>Der fremsættes ønsker om, at der udarbejdes en egentlig vejledning til loven, hvoraf det bl.a. bør fremgå, hvad der ligger i de enkelte definitioner vedr. mobning, handlepligt m.v. Der peges endvidere på behov for et videns- og kompetenceløft til de skoleledere, kommunalbestyrelser og fagfolk, som har ansvar for strategierne</w:t>
      </w:r>
      <w:r w:rsidR="008654FD" w:rsidRPr="000D4513">
        <w:t>.</w:t>
      </w:r>
    </w:p>
    <w:p w14:paraId="0EB4C408" w14:textId="77777777" w:rsidR="00550E64" w:rsidRPr="000D4513" w:rsidRDefault="00550E64" w:rsidP="00550E64">
      <w:pPr>
        <w:pStyle w:val="Brdtekst"/>
      </w:pPr>
    </w:p>
    <w:p w14:paraId="277B0F69" w14:textId="491B55F1" w:rsidR="00550E64" w:rsidRPr="000D4513" w:rsidRDefault="00550E64" w:rsidP="00550E64">
      <w:pPr>
        <w:pStyle w:val="Brdtekst"/>
      </w:pPr>
      <w:r w:rsidRPr="000D4513">
        <w:t>Ministeriet bemærker i denne henseende</w:t>
      </w:r>
      <w:r w:rsidR="008654FD" w:rsidRPr="000D4513">
        <w:t xml:space="preserve"> </w:t>
      </w:r>
      <w:r w:rsidRPr="000D4513">
        <w:t xml:space="preserve">– herunder i øvrigt som en supplering til de ovenstående afsnit – at DCUM via sin hjemmeside </w:t>
      </w:r>
      <w:r w:rsidR="008654FD" w:rsidRPr="000D4513">
        <w:t>stiller</w:t>
      </w:r>
      <w:r w:rsidRPr="000D4513">
        <w:t xml:space="preserve"> et omfattende og målrette</w:t>
      </w:r>
      <w:r w:rsidR="008654FD" w:rsidRPr="000D4513">
        <w:t>t</w:t>
      </w:r>
      <w:r w:rsidRPr="000D4513">
        <w:t xml:space="preserve"> inspirations- og vejledningsmateriale </w:t>
      </w:r>
      <w:r w:rsidR="008654FD" w:rsidRPr="000D4513">
        <w:t xml:space="preserve">til rådighed </w:t>
      </w:r>
      <w:r w:rsidRPr="000D4513">
        <w:t>for grundskolen og ungdomsuddannelserne. Det omfatter eksempelvis vejledninger om forståelse af mobning (til både uddannelsessted og til elever) og en vejledning om afdækning af problemer. Der findes også skabeloner til antimobbestrategier og handlingsplan samt værktøjer til konfliktløsning.</w:t>
      </w:r>
    </w:p>
    <w:p w14:paraId="370AF3A1" w14:textId="700CD411" w:rsidR="00550E64" w:rsidRPr="000D4513" w:rsidRDefault="00550E64" w:rsidP="00550E64">
      <w:pPr>
        <w:pStyle w:val="Brdtekst"/>
      </w:pPr>
    </w:p>
    <w:p w14:paraId="323EF5C5" w14:textId="319CED7A" w:rsidR="00DF5C69" w:rsidRPr="000D4513" w:rsidRDefault="00980D9E" w:rsidP="00980D9E">
      <w:pPr>
        <w:pStyle w:val="Brdtekst"/>
      </w:pPr>
      <w:r w:rsidRPr="000D4513">
        <w:t xml:space="preserve">Ministeriet finder i øvrigt anledning til at </w:t>
      </w:r>
      <w:r w:rsidR="00E93493" w:rsidRPr="000D4513">
        <w:t>påpege</w:t>
      </w:r>
      <w:r w:rsidRPr="000D4513">
        <w:t>, at DCUM er oprettet netop med det formål at medvirke til at sikre og udvikle et godt undervisningsmiljø i Danmark, jf. herved undervisningsmiljølovens § 2. Efter bestemmelsen omfatter denne opgave bl.a. vejledning og rådgivning til elever og studerende samt uddannelsessteder og myndigheder i undervisningsmiljøspørgsmål. Det indebærer endvidere, at DCUM skal samle og systematisere viden om regler og praksis af betydning for undervisningsmiljøet og stille den indsamlede viden til rådighed for offentligheden. Derudover forudsætter bestemmelsen, at DCUM generelt er forum for dialog om og udvikling af et godt undervisningsmiljø i Danmark.</w:t>
      </w:r>
    </w:p>
    <w:p w14:paraId="6D6D7297" w14:textId="7970CF51" w:rsidR="00DF5C69" w:rsidRPr="000D4513" w:rsidRDefault="00DF5C69" w:rsidP="007061AD">
      <w:pPr>
        <w:pStyle w:val="Brdtekst"/>
      </w:pPr>
    </w:p>
    <w:p w14:paraId="27A3B429" w14:textId="67BCEBCE" w:rsidR="00980D9E" w:rsidRPr="000D4513" w:rsidRDefault="00980D9E" w:rsidP="00980D9E">
      <w:pPr>
        <w:pStyle w:val="Brdtekst"/>
      </w:pPr>
      <w:r w:rsidRPr="000D4513">
        <w:t xml:space="preserve">Der er således allerede i regi af DCUM en veludviklet proces, som både for den fagprofessionelle part og for den, der klager eller henvender sig, giver en god forståelse af fx det fællesskabsorienterede mobbesyn, håndterings- og klagereglerne og de muligheder, som i øvrigt findes inden </w:t>
      </w:r>
      <w:r w:rsidR="00BA7A45">
        <w:t xml:space="preserve">for </w:t>
      </w:r>
      <w:r w:rsidRPr="000D4513">
        <w:t>lovgivningsrammen.</w:t>
      </w:r>
    </w:p>
    <w:p w14:paraId="4E435A91" w14:textId="77777777" w:rsidR="00980D9E" w:rsidRPr="000D4513" w:rsidRDefault="00980D9E" w:rsidP="00980D9E">
      <w:pPr>
        <w:pStyle w:val="Brdtekst"/>
      </w:pPr>
    </w:p>
    <w:p w14:paraId="076779A3" w14:textId="04BDEBC0" w:rsidR="006006F2" w:rsidRPr="000D4513" w:rsidRDefault="006006F2" w:rsidP="007061AD">
      <w:pPr>
        <w:pStyle w:val="Brdtekst"/>
      </w:pPr>
      <w:r w:rsidRPr="000D4513">
        <w:t xml:space="preserve">Både Epinions evaluering og høringssvarene viser imidlertid, at det ikke er en selvfølgelighed, at </w:t>
      </w:r>
      <w:r w:rsidR="00A20E7D" w:rsidRPr="000D4513">
        <w:t>fag</w:t>
      </w:r>
      <w:r w:rsidRPr="000D4513">
        <w:t xml:space="preserve">professionelle, elever og forældre har kendskab til, hvordan </w:t>
      </w:r>
      <w:r w:rsidR="00A20E7D" w:rsidRPr="000D4513">
        <w:t xml:space="preserve">der skal reageres ved mobning, </w:t>
      </w:r>
      <w:r w:rsidRPr="000D4513">
        <w:t xml:space="preserve">eller </w:t>
      </w:r>
      <w:r w:rsidR="00A20E7D" w:rsidRPr="000D4513">
        <w:t xml:space="preserve">i øvrigt </w:t>
      </w:r>
      <w:r w:rsidRPr="000D4513">
        <w:t xml:space="preserve">til muligheden for at klage. </w:t>
      </w:r>
    </w:p>
    <w:p w14:paraId="2D57FBA1" w14:textId="77777777" w:rsidR="006006F2" w:rsidRPr="000D4513" w:rsidRDefault="006006F2" w:rsidP="007061AD">
      <w:pPr>
        <w:pStyle w:val="Brdtekst"/>
      </w:pPr>
    </w:p>
    <w:p w14:paraId="2215BE55" w14:textId="647F961C" w:rsidR="0071043E" w:rsidRPr="000D4513" w:rsidRDefault="0071043E" w:rsidP="007061AD">
      <w:pPr>
        <w:pStyle w:val="Brdtekst"/>
      </w:pPr>
      <w:r w:rsidRPr="000D4513">
        <w:t xml:space="preserve">Ministeriet </w:t>
      </w:r>
      <w:r w:rsidR="002A278B" w:rsidRPr="000D4513">
        <w:t>find</w:t>
      </w:r>
      <w:r w:rsidRPr="000D4513">
        <w:t xml:space="preserve">er </w:t>
      </w:r>
      <w:r w:rsidR="006006F2" w:rsidRPr="000D4513">
        <w:t>på den baggrund</w:t>
      </w:r>
      <w:r w:rsidR="002A278B" w:rsidRPr="000D4513">
        <w:t xml:space="preserve">, </w:t>
      </w:r>
      <w:r w:rsidRPr="000D4513">
        <w:t xml:space="preserve">at </w:t>
      </w:r>
      <w:r w:rsidR="002A278B" w:rsidRPr="000D4513">
        <w:t xml:space="preserve">der bør </w:t>
      </w:r>
      <w:r w:rsidRPr="000D4513">
        <w:t>se</w:t>
      </w:r>
      <w:r w:rsidR="002A278B" w:rsidRPr="000D4513">
        <w:t>s nærmere</w:t>
      </w:r>
      <w:r w:rsidRPr="000D4513">
        <w:t xml:space="preserve"> på, </w:t>
      </w:r>
      <w:r w:rsidR="002A278B" w:rsidRPr="000D4513">
        <w:t>hvorvidt</w:t>
      </w:r>
      <w:r w:rsidRPr="000D4513">
        <w:t xml:space="preserve"> der kan gøres yderligere for at styrke </w:t>
      </w:r>
      <w:r w:rsidR="00784B9F">
        <w:t xml:space="preserve">informations- og </w:t>
      </w:r>
      <w:r w:rsidRPr="000D4513">
        <w:t>vejledningsindsatsen på området</w:t>
      </w:r>
      <w:r w:rsidR="00606DAF">
        <w:t xml:space="preserve"> bredt set</w:t>
      </w:r>
      <w:r w:rsidR="006006F2" w:rsidRPr="000D4513">
        <w:t>.</w:t>
      </w:r>
    </w:p>
    <w:p w14:paraId="16C9C91A" w14:textId="77777777" w:rsidR="0071043E" w:rsidRPr="000D4513" w:rsidRDefault="0071043E" w:rsidP="007061AD">
      <w:pPr>
        <w:pStyle w:val="Brdtekst"/>
        <w:rPr>
          <w:szCs w:val="22"/>
        </w:rPr>
      </w:pPr>
    </w:p>
    <w:p w14:paraId="3A84E91B" w14:textId="77777777" w:rsidR="00AF707A" w:rsidRPr="000D4513" w:rsidRDefault="00AF707A" w:rsidP="007061AD">
      <w:pPr>
        <w:pStyle w:val="Overskrift1"/>
        <w:ind w:left="425" w:hanging="425"/>
        <w:rPr>
          <w:szCs w:val="22"/>
        </w:rPr>
      </w:pPr>
      <w:bookmarkStart w:id="26" w:name="_Toc54877185"/>
      <w:r w:rsidRPr="000D4513">
        <w:rPr>
          <w:szCs w:val="22"/>
        </w:rPr>
        <w:t>Klageordningen og klageinstansen</w:t>
      </w:r>
      <w:r w:rsidR="00AE4B61" w:rsidRPr="000D4513">
        <w:rPr>
          <w:szCs w:val="22"/>
        </w:rPr>
        <w:t>, herunder solnedgangsklausulen</w:t>
      </w:r>
      <w:bookmarkEnd w:id="26"/>
    </w:p>
    <w:p w14:paraId="17EF724C" w14:textId="77777777" w:rsidR="008F7205" w:rsidRPr="000D4513" w:rsidRDefault="008F7205" w:rsidP="007061AD">
      <w:pPr>
        <w:pStyle w:val="Brdtekst"/>
        <w:rPr>
          <w:szCs w:val="22"/>
        </w:rPr>
      </w:pPr>
    </w:p>
    <w:p w14:paraId="58009E02" w14:textId="77777777" w:rsidR="008F7205" w:rsidRPr="000D4513" w:rsidRDefault="008F7205" w:rsidP="009B54C2">
      <w:pPr>
        <w:pStyle w:val="Overskrift2"/>
        <w:ind w:left="426" w:hanging="455"/>
        <w:rPr>
          <w:szCs w:val="22"/>
        </w:rPr>
      </w:pPr>
      <w:bookmarkStart w:id="27" w:name="_Toc54877186"/>
      <w:r w:rsidRPr="000D4513">
        <w:rPr>
          <w:szCs w:val="22"/>
        </w:rPr>
        <w:t>Epinion-evalueringens centrale resultater</w:t>
      </w:r>
      <w:bookmarkEnd w:id="27"/>
    </w:p>
    <w:p w14:paraId="2ABA88BF" w14:textId="77777777" w:rsidR="008F7205" w:rsidRPr="000D4513" w:rsidRDefault="008F7205" w:rsidP="007061AD">
      <w:pPr>
        <w:pStyle w:val="Opstilling-punkttegn"/>
        <w:numPr>
          <w:ilvl w:val="0"/>
          <w:numId w:val="0"/>
        </w:numPr>
        <w:rPr>
          <w:b/>
        </w:rPr>
      </w:pPr>
      <w:r w:rsidRPr="000D4513">
        <w:t>Hovedresultaterne af Epinions evaluering er for så vidt angår klageordningen og klageinstansen:</w:t>
      </w:r>
    </w:p>
    <w:p w14:paraId="511CCEF1" w14:textId="77777777" w:rsidR="008F7205" w:rsidRPr="000D4513" w:rsidRDefault="008F7205" w:rsidP="007061AD">
      <w:pPr>
        <w:pStyle w:val="Opstilling-punkttegn"/>
        <w:numPr>
          <w:ilvl w:val="0"/>
          <w:numId w:val="1"/>
        </w:numPr>
      </w:pPr>
      <w:r w:rsidRPr="000D4513">
        <w:t xml:space="preserve">Brugen af </w:t>
      </w:r>
      <w:r w:rsidR="002B7C7D" w:rsidRPr="000D4513">
        <w:t>klage</w:t>
      </w:r>
      <w:r w:rsidRPr="000D4513">
        <w:t>instansen er stigende. I 2017 behandlede instansen 10 klager i alt. I 2018 var det 52, og i 2019 behandlede instansen 120 klager.</w:t>
      </w:r>
    </w:p>
    <w:p w14:paraId="593BDF4C" w14:textId="77777777" w:rsidR="007D22E7" w:rsidRPr="000D4513" w:rsidRDefault="007D22E7" w:rsidP="007D22E7">
      <w:pPr>
        <w:pStyle w:val="Opstilling-punkttegn"/>
      </w:pPr>
      <w:r w:rsidRPr="000D4513">
        <w:t>Den gennemsnitlige sagsbehandlingstid var i 2019 på 4,4 måneder.</w:t>
      </w:r>
    </w:p>
    <w:p w14:paraId="68F24817" w14:textId="77777777" w:rsidR="008F7205" w:rsidRPr="000D4513" w:rsidRDefault="008F7205" w:rsidP="007061AD">
      <w:pPr>
        <w:pStyle w:val="Opstilling-punkttegn"/>
        <w:numPr>
          <w:ilvl w:val="0"/>
          <w:numId w:val="1"/>
        </w:numPr>
      </w:pPr>
      <w:r w:rsidRPr="000D4513">
        <w:t>Klageinstansen oplever, at dens arbejde hæmmes af en manglende skriftlighedskultur på skolerne, herunder mangel på journalisering af centrale dokumenter.</w:t>
      </w:r>
    </w:p>
    <w:p w14:paraId="31C48042" w14:textId="77777777" w:rsidR="008F7205" w:rsidRPr="000D4513" w:rsidRDefault="008F7205" w:rsidP="007061AD">
      <w:pPr>
        <w:pStyle w:val="Opstilling-punkttegn"/>
        <w:numPr>
          <w:ilvl w:val="0"/>
          <w:numId w:val="1"/>
        </w:numPr>
      </w:pPr>
      <w:r w:rsidRPr="000D4513">
        <w:t>Forældrene oplever, at klageadgangen er vigtig, fordi sager kan få en afgørelse</w:t>
      </w:r>
      <w:r w:rsidR="00F50639" w:rsidRPr="000D4513">
        <w:t>, dvs. uanset om de får medhold eller ej</w:t>
      </w:r>
      <w:r w:rsidRPr="000D4513">
        <w:t>.</w:t>
      </w:r>
    </w:p>
    <w:p w14:paraId="5A793F03" w14:textId="77777777" w:rsidR="008F7205" w:rsidRPr="000D4513" w:rsidRDefault="008F7205" w:rsidP="007061AD">
      <w:pPr>
        <w:pStyle w:val="Opstilling-punkttegn"/>
        <w:numPr>
          <w:ilvl w:val="0"/>
          <w:numId w:val="1"/>
        </w:numPr>
      </w:pPr>
      <w:r w:rsidRPr="000D4513">
        <w:lastRenderedPageBreak/>
        <w:t>Forældrene har ofte for store forventninger til, hvad en afgørelse fra klageinstansen kan løse i praksis.</w:t>
      </w:r>
    </w:p>
    <w:p w14:paraId="78734A86" w14:textId="77777777" w:rsidR="008F7205" w:rsidRPr="000D4513" w:rsidRDefault="008F7205" w:rsidP="007061AD">
      <w:pPr>
        <w:pStyle w:val="Opstilling-punkttegn"/>
        <w:numPr>
          <w:ilvl w:val="0"/>
          <w:numId w:val="1"/>
        </w:numPr>
      </w:pPr>
      <w:r w:rsidRPr="000D4513">
        <w:t>Instansens afgørelser bidrager til, at forvaltning og leder i højere grad efterlever lovbestemmelsens procedurer.</w:t>
      </w:r>
    </w:p>
    <w:p w14:paraId="79FF0138" w14:textId="77777777" w:rsidR="008F7205" w:rsidRPr="000D4513" w:rsidRDefault="008F7205" w:rsidP="007061AD">
      <w:pPr>
        <w:pStyle w:val="Opstilling-punkttegn"/>
        <w:numPr>
          <w:ilvl w:val="0"/>
          <w:numId w:val="1"/>
        </w:numPr>
      </w:pPr>
      <w:r w:rsidRPr="000D4513">
        <w:t>Uddannelsesstederne mangler systematik i forhold til de traditionelle forvaltningsretlige principper</w:t>
      </w:r>
      <w:r w:rsidR="00F50639" w:rsidRPr="000D4513">
        <w:t>, herunder med hensyn til vejledningspligt, notatpligt og journalisering, pligt til meddelelse af afgørelser og procedurer for videresendelse i relation til DCUM</w:t>
      </w:r>
      <w:r w:rsidRPr="000D4513">
        <w:t>.</w:t>
      </w:r>
    </w:p>
    <w:p w14:paraId="46DEBC00" w14:textId="4D45597A" w:rsidR="00F50639" w:rsidRPr="000D4513" w:rsidRDefault="00F50639" w:rsidP="007061AD">
      <w:pPr>
        <w:pStyle w:val="Opstilling-punkttegn"/>
        <w:numPr>
          <w:ilvl w:val="0"/>
          <w:numId w:val="1"/>
        </w:numPr>
      </w:pPr>
      <w:r w:rsidRPr="000D4513">
        <w:t>Klageinstansen</w:t>
      </w:r>
      <w:r w:rsidR="00DA5804">
        <w:t>s</w:t>
      </w:r>
      <w:r w:rsidRPr="000D4513">
        <w:t xml:space="preserve"> sagsbehandling og afgørelser bidrager til, at institutioner i højere grad efterlever lovbestemmelsernes procedurer og gentænker egne procedurer.</w:t>
      </w:r>
    </w:p>
    <w:p w14:paraId="69DF332D" w14:textId="77777777" w:rsidR="008F7205" w:rsidRPr="000D4513" w:rsidRDefault="008F7205" w:rsidP="007061AD">
      <w:pPr>
        <w:pStyle w:val="Opstilling-punkttegn"/>
        <w:numPr>
          <w:ilvl w:val="0"/>
          <w:numId w:val="1"/>
        </w:numPr>
      </w:pPr>
      <w:r w:rsidRPr="000D4513">
        <w:t>Kommunalbestyrelsen delegerer ofte klagebehandling</w:t>
      </w:r>
      <w:r w:rsidR="00900D49" w:rsidRPr="000D4513">
        <w:t>en til skole</w:t>
      </w:r>
      <w:r w:rsidRPr="000D4513">
        <w:t>lederen. Det giver ifølge klagere udfordringer med inhabilitet.</w:t>
      </w:r>
    </w:p>
    <w:p w14:paraId="50579E38" w14:textId="77777777" w:rsidR="008F7205" w:rsidRPr="000D4513" w:rsidRDefault="008F7205" w:rsidP="007061AD">
      <w:pPr>
        <w:pStyle w:val="Brdtekst"/>
        <w:rPr>
          <w:szCs w:val="22"/>
        </w:rPr>
      </w:pPr>
    </w:p>
    <w:p w14:paraId="4C5DB4E4" w14:textId="77777777" w:rsidR="00AF707A" w:rsidRPr="000D4513" w:rsidRDefault="002853BE" w:rsidP="009B54C2">
      <w:pPr>
        <w:pStyle w:val="Overskrift2"/>
        <w:ind w:left="426" w:hanging="455"/>
        <w:rPr>
          <w:szCs w:val="22"/>
        </w:rPr>
      </w:pPr>
      <w:bookmarkStart w:id="28" w:name="_Toc54877187"/>
      <w:r w:rsidRPr="000D4513">
        <w:rPr>
          <w:szCs w:val="22"/>
        </w:rPr>
        <w:t>Høringsparternes synspunkter i 1. høring</w:t>
      </w:r>
      <w:bookmarkEnd w:id="28"/>
    </w:p>
    <w:p w14:paraId="41F173E8" w14:textId="3EE4C546" w:rsidR="002B7C7D" w:rsidRPr="000D4513" w:rsidRDefault="002B7C7D" w:rsidP="007061AD">
      <w:pPr>
        <w:pStyle w:val="Brdtekst"/>
      </w:pPr>
      <w:r w:rsidRPr="000D4513">
        <w:rPr>
          <w:szCs w:val="22"/>
          <w:u w:val="single"/>
        </w:rPr>
        <w:t>BUPL</w:t>
      </w:r>
      <w:r w:rsidRPr="000D4513">
        <w:rPr>
          <w:szCs w:val="22"/>
        </w:rPr>
        <w:t xml:space="preserve">, </w:t>
      </w:r>
      <w:r w:rsidRPr="000D4513">
        <w:rPr>
          <w:szCs w:val="22"/>
          <w:u w:val="single"/>
        </w:rPr>
        <w:t>Børne- og Kulturchefforeningen</w:t>
      </w:r>
      <w:r w:rsidRPr="000D4513">
        <w:rPr>
          <w:szCs w:val="22"/>
        </w:rPr>
        <w:t xml:space="preserve">, </w:t>
      </w:r>
      <w:r w:rsidRPr="000D4513">
        <w:rPr>
          <w:szCs w:val="22"/>
          <w:u w:val="single"/>
        </w:rPr>
        <w:t>Danmarks Lærerforening</w:t>
      </w:r>
      <w:r w:rsidRPr="000D4513">
        <w:rPr>
          <w:szCs w:val="22"/>
        </w:rPr>
        <w:t xml:space="preserve">, </w:t>
      </w:r>
      <w:r w:rsidRPr="000D4513">
        <w:rPr>
          <w:szCs w:val="22"/>
          <w:u w:val="single"/>
        </w:rPr>
        <w:t>KL</w:t>
      </w:r>
      <w:r w:rsidRPr="000D4513">
        <w:rPr>
          <w:szCs w:val="22"/>
        </w:rPr>
        <w:t xml:space="preserve"> og </w:t>
      </w:r>
      <w:r w:rsidRPr="000D4513">
        <w:rPr>
          <w:szCs w:val="22"/>
          <w:u w:val="single"/>
        </w:rPr>
        <w:t>Skolelederforeningen</w:t>
      </w:r>
      <w:r w:rsidRPr="000D4513">
        <w:rPr>
          <w:szCs w:val="22"/>
        </w:rPr>
        <w:t xml:space="preserve"> bemærker</w:t>
      </w:r>
      <w:r w:rsidRPr="000D4513">
        <w:t>, at klageord</w:t>
      </w:r>
      <w:r w:rsidR="00970DA4" w:rsidRPr="000D4513">
        <w:t>ningen i sin nuværende form er b</w:t>
      </w:r>
      <w:r w:rsidRPr="000D4513">
        <w:t xml:space="preserve">aseret på to forskellige procedurer, alt efter om de involverede parter vurderer, at der har fundet mobning eller lignende sted. Håndteringen af en situation, hvor et barn eller en gruppe børn er i mistrivsel, risikerer derfor at blive afsporet af drøftelser om begreber. </w:t>
      </w:r>
    </w:p>
    <w:p w14:paraId="66F86664" w14:textId="77777777" w:rsidR="002B7C7D" w:rsidRPr="000D4513" w:rsidRDefault="002B7C7D" w:rsidP="007061AD">
      <w:pPr>
        <w:pStyle w:val="Brdtekst"/>
      </w:pPr>
    </w:p>
    <w:p w14:paraId="627D05BC" w14:textId="666C4F7E" w:rsidR="00F13EC7" w:rsidRPr="000D4513" w:rsidRDefault="007061AD" w:rsidP="007061AD">
      <w:pPr>
        <w:pStyle w:val="Brdtekst"/>
        <w:rPr>
          <w:szCs w:val="22"/>
        </w:rPr>
      </w:pPr>
      <w:r w:rsidRPr="000D4513">
        <w:rPr>
          <w:szCs w:val="22"/>
          <w:u w:val="single"/>
        </w:rPr>
        <w:t>Børnerådet</w:t>
      </w:r>
      <w:r w:rsidRPr="000D4513">
        <w:rPr>
          <w:szCs w:val="22"/>
        </w:rPr>
        <w:t xml:space="preserve"> </w:t>
      </w:r>
      <w:r w:rsidR="00970DA4" w:rsidRPr="000D4513">
        <w:rPr>
          <w:szCs w:val="22"/>
        </w:rPr>
        <w:t>giver udtryk for</w:t>
      </w:r>
      <w:r w:rsidRPr="000D4513">
        <w:rPr>
          <w:szCs w:val="22"/>
        </w:rPr>
        <w:t xml:space="preserve">, at klageinstansen bør bestå efter den 31. juli 2022. </w:t>
      </w:r>
      <w:r w:rsidR="00F13EC7" w:rsidRPr="000D4513">
        <w:rPr>
          <w:szCs w:val="22"/>
        </w:rPr>
        <w:t xml:space="preserve">Der opfordres til, at ledere og lærere klædes bedre på med hensyn til dokumentationskrav. </w:t>
      </w:r>
      <w:r w:rsidRPr="000D4513">
        <w:rPr>
          <w:szCs w:val="22"/>
        </w:rPr>
        <w:t>Det fremhæves, at sagsbehandlingstiden i klagesager skal gøres kortere, og</w:t>
      </w:r>
      <w:r w:rsidR="00970DA4" w:rsidRPr="000D4513">
        <w:rPr>
          <w:szCs w:val="22"/>
        </w:rPr>
        <w:t xml:space="preserve"> at</w:t>
      </w:r>
      <w:r w:rsidRPr="000D4513">
        <w:rPr>
          <w:szCs w:val="22"/>
        </w:rPr>
        <w:t xml:space="preserve"> barnets situation skal i centrum fra start.</w:t>
      </w:r>
      <w:r w:rsidR="00F13EC7" w:rsidRPr="000D4513">
        <w:rPr>
          <w:szCs w:val="22"/>
        </w:rPr>
        <w:t xml:space="preserve"> Det findes principielt uhensigtsmæssigt, at institutions leder skal undersøge sig selv</w:t>
      </w:r>
      <w:r w:rsidR="00970DA4" w:rsidRPr="000D4513">
        <w:rPr>
          <w:szCs w:val="22"/>
        </w:rPr>
        <w:t xml:space="preserve"> i 1.</w:t>
      </w:r>
      <w:r w:rsidR="00DA5804">
        <w:rPr>
          <w:szCs w:val="22"/>
        </w:rPr>
        <w:t>-</w:t>
      </w:r>
      <w:r w:rsidR="00970DA4" w:rsidRPr="000D4513">
        <w:rPr>
          <w:szCs w:val="22"/>
        </w:rPr>
        <w:t>instanssagerne</w:t>
      </w:r>
      <w:r w:rsidR="00F13EC7" w:rsidRPr="000D4513">
        <w:rPr>
          <w:szCs w:val="22"/>
        </w:rPr>
        <w:t>, og der opfordres i denne henseende til at genoverveje klagesystemets opbygning, fx fjernelse af den lokale første klageinstans.</w:t>
      </w:r>
    </w:p>
    <w:p w14:paraId="7151DD5A" w14:textId="77777777" w:rsidR="00F13EC7" w:rsidRPr="000D4513" w:rsidRDefault="00F13EC7" w:rsidP="007061AD">
      <w:pPr>
        <w:pStyle w:val="Brdtekst"/>
        <w:rPr>
          <w:szCs w:val="22"/>
          <w:u w:val="single"/>
        </w:rPr>
      </w:pPr>
    </w:p>
    <w:p w14:paraId="6CA5C0A6" w14:textId="77777777" w:rsidR="00356DCA" w:rsidRPr="000D4513" w:rsidRDefault="00356DCA" w:rsidP="007061AD">
      <w:pPr>
        <w:pStyle w:val="Brdtekst"/>
        <w:rPr>
          <w:szCs w:val="22"/>
        </w:rPr>
      </w:pPr>
      <w:r w:rsidRPr="000D4513">
        <w:rPr>
          <w:szCs w:val="22"/>
          <w:u w:val="single"/>
        </w:rPr>
        <w:t>Børns Vilkår</w:t>
      </w:r>
      <w:r w:rsidRPr="000D4513">
        <w:rPr>
          <w:szCs w:val="22"/>
        </w:rPr>
        <w:t xml:space="preserve"> anbefaler, at der i implementeringsfasen fremover er fokus på institutionernes vejledningspligt, notatpligt, journalisering og informeringspligt ved afgørelser for at sikre en systematisk og transparent sagsbehandling i sager om mobning, herunder klagesagerne. Det anbefales endvidere, at kommunalbestyrelsens mulighed for at uddelegere klageafgørelse ikke længere skal kunne ske til skoleledelsen. Det er endelig Børns Vilkårs kraftige opfordring, at klageordningen opretholdes og gøres permanent efter den 31. juli 2022.</w:t>
      </w:r>
    </w:p>
    <w:p w14:paraId="2DDCA35B" w14:textId="77777777" w:rsidR="002874DB" w:rsidRPr="000D4513" w:rsidRDefault="002874DB" w:rsidP="002874DB">
      <w:pPr>
        <w:pStyle w:val="Brdtekst"/>
        <w:rPr>
          <w:szCs w:val="22"/>
        </w:rPr>
      </w:pPr>
    </w:p>
    <w:p w14:paraId="0473A810" w14:textId="59554553" w:rsidR="00636CF5" w:rsidRPr="000D4513" w:rsidRDefault="00636CF5" w:rsidP="002874DB">
      <w:pPr>
        <w:pStyle w:val="Brdtekst"/>
        <w:rPr>
          <w:rFonts w:cstheme="minorBidi"/>
        </w:rPr>
      </w:pPr>
      <w:r w:rsidRPr="000D4513">
        <w:rPr>
          <w:u w:val="single"/>
        </w:rPr>
        <w:t>Danske Gymnasieelevers Sammenslutning</w:t>
      </w:r>
      <w:r w:rsidRPr="000D4513">
        <w:t xml:space="preserve"> og </w:t>
      </w:r>
      <w:r w:rsidRPr="000D4513">
        <w:rPr>
          <w:u w:val="single"/>
        </w:rPr>
        <w:t>Landssammenslutningen af Handelsskoleelever</w:t>
      </w:r>
      <w:r w:rsidRPr="000D4513">
        <w:t xml:space="preserve"> finder, at </w:t>
      </w:r>
      <w:r w:rsidRPr="000D4513">
        <w:rPr>
          <w:sz w:val="21"/>
          <w:szCs w:val="21"/>
        </w:rPr>
        <w:t>sager bør dokumenteres og ikke mindst arkiveres i tilfælde af, at en sag blusser op igen. Der bør være et minimumskrav til dokumentationen, sådan at sagens udvikling kan dokumenteres fra start til slut.</w:t>
      </w:r>
      <w:r w:rsidR="005B5925" w:rsidRPr="000D4513">
        <w:rPr>
          <w:sz w:val="21"/>
          <w:szCs w:val="21"/>
        </w:rPr>
        <w:t xml:space="preserve"> Der kan endvidere henvises til den "værktøjskasse", som er bekrevet i afsnit </w:t>
      </w:r>
      <w:r w:rsidR="005B5925" w:rsidRPr="000D4513">
        <w:rPr>
          <w:sz w:val="21"/>
          <w:szCs w:val="21"/>
        </w:rPr>
        <w:fldChar w:fldCharType="begin"/>
      </w:r>
      <w:r w:rsidR="005B5925" w:rsidRPr="000D4513">
        <w:rPr>
          <w:sz w:val="21"/>
          <w:szCs w:val="21"/>
        </w:rPr>
        <w:instrText xml:space="preserve"> REF _Ref53135424 \r \h </w:instrText>
      </w:r>
      <w:r w:rsidR="000D4513">
        <w:rPr>
          <w:sz w:val="21"/>
          <w:szCs w:val="21"/>
        </w:rPr>
        <w:instrText xml:space="preserve"> \* MERGEFORMAT </w:instrText>
      </w:r>
      <w:r w:rsidR="005B5925" w:rsidRPr="000D4513">
        <w:rPr>
          <w:sz w:val="21"/>
          <w:szCs w:val="21"/>
        </w:rPr>
      </w:r>
      <w:r w:rsidR="005B5925" w:rsidRPr="000D4513">
        <w:rPr>
          <w:sz w:val="21"/>
          <w:szCs w:val="21"/>
        </w:rPr>
        <w:fldChar w:fldCharType="separate"/>
      </w:r>
      <w:r w:rsidR="00D75B58" w:rsidRPr="000D4513">
        <w:rPr>
          <w:sz w:val="21"/>
          <w:szCs w:val="21"/>
        </w:rPr>
        <w:t>7.2</w:t>
      </w:r>
      <w:r w:rsidR="005B5925" w:rsidRPr="000D4513">
        <w:rPr>
          <w:sz w:val="21"/>
          <w:szCs w:val="21"/>
        </w:rPr>
        <w:fldChar w:fldCharType="end"/>
      </w:r>
      <w:r w:rsidR="005B5925" w:rsidRPr="000D4513">
        <w:rPr>
          <w:sz w:val="21"/>
          <w:szCs w:val="21"/>
        </w:rPr>
        <w:t>.</w:t>
      </w:r>
    </w:p>
    <w:p w14:paraId="640324A8" w14:textId="77777777" w:rsidR="00636CF5" w:rsidRPr="000D4513" w:rsidRDefault="00636CF5" w:rsidP="002874DB">
      <w:pPr>
        <w:pStyle w:val="Brdtekst"/>
        <w:rPr>
          <w:szCs w:val="22"/>
        </w:rPr>
      </w:pPr>
    </w:p>
    <w:p w14:paraId="67A23FBC" w14:textId="4398CDF5" w:rsidR="000456D2" w:rsidRPr="000D4513" w:rsidRDefault="002874DB" w:rsidP="000456D2">
      <w:pPr>
        <w:pStyle w:val="Brdtekst"/>
        <w:rPr>
          <w:szCs w:val="22"/>
        </w:rPr>
      </w:pPr>
      <w:r w:rsidRPr="000D4513">
        <w:rPr>
          <w:szCs w:val="22"/>
          <w:u w:val="single"/>
        </w:rPr>
        <w:t>Danmarks Private Skoler</w:t>
      </w:r>
      <w:r w:rsidRPr="000D4513">
        <w:rPr>
          <w:szCs w:val="22"/>
        </w:rPr>
        <w:t xml:space="preserve"> </w:t>
      </w:r>
      <w:r w:rsidR="000456D2" w:rsidRPr="000D4513">
        <w:rPr>
          <w:szCs w:val="22"/>
        </w:rPr>
        <w:t>bemærker</w:t>
      </w:r>
      <w:r w:rsidRPr="000D4513">
        <w:rPr>
          <w:szCs w:val="22"/>
        </w:rPr>
        <w:t xml:space="preserve">, at en klage </w:t>
      </w:r>
      <w:r w:rsidRPr="000D4513">
        <w:rPr>
          <w:i/>
          <w:szCs w:val="22"/>
        </w:rPr>
        <w:t>de facto</w:t>
      </w:r>
      <w:r w:rsidRPr="000D4513">
        <w:rPr>
          <w:szCs w:val="22"/>
        </w:rPr>
        <w:t xml:space="preserve"> </w:t>
      </w:r>
      <w:r w:rsidR="00DA5804">
        <w:rPr>
          <w:szCs w:val="22"/>
        </w:rPr>
        <w:t xml:space="preserve">kan </w:t>
      </w:r>
      <w:r w:rsidRPr="000D4513">
        <w:rPr>
          <w:szCs w:val="22"/>
        </w:rPr>
        <w:t>føre til lukning af skolen, fordi sanktionen kan være nedsættelse af tilskud eller fratagelse af tilskud – en konsekvens, som derved er langt større for de frie og private skoler end for offentlige skoler.</w:t>
      </w:r>
      <w:r w:rsidR="000456D2" w:rsidRPr="000D4513">
        <w:rPr>
          <w:szCs w:val="22"/>
        </w:rPr>
        <w:t xml:space="preserve"> Det bemærkes endvidere, at frie og private skoler har andre styringsforhold end de offentlige skoler, og at de dermed ikke nødvendigvis </w:t>
      </w:r>
      <w:r w:rsidR="00BA7A45">
        <w:rPr>
          <w:szCs w:val="22"/>
        </w:rPr>
        <w:t xml:space="preserve">har </w:t>
      </w:r>
      <w:r w:rsidR="000456D2" w:rsidRPr="000D4513">
        <w:rPr>
          <w:szCs w:val="22"/>
        </w:rPr>
        <w:t>de samme forvaltningsretlige forpligtelser. Det understreges, at foreningen på intet tidspunkt har tilkendegivet, at lovgivning og et klageorgan kan være løsning på udfordringer med mobning og mistrivsel.</w:t>
      </w:r>
    </w:p>
    <w:p w14:paraId="5673EF0E" w14:textId="77777777" w:rsidR="002874DB" w:rsidRPr="000D4513" w:rsidRDefault="002874DB" w:rsidP="007061AD">
      <w:pPr>
        <w:pStyle w:val="Brdtekst"/>
        <w:rPr>
          <w:szCs w:val="22"/>
        </w:rPr>
      </w:pPr>
    </w:p>
    <w:p w14:paraId="38A6CB2C" w14:textId="643281B8" w:rsidR="00C90539" w:rsidRPr="000D4513" w:rsidRDefault="00C90539" w:rsidP="00C90539">
      <w:pPr>
        <w:pStyle w:val="Brdtekst"/>
        <w:rPr>
          <w:szCs w:val="22"/>
        </w:rPr>
      </w:pPr>
      <w:r w:rsidRPr="000D4513">
        <w:rPr>
          <w:szCs w:val="22"/>
          <w:u w:val="single"/>
        </w:rPr>
        <w:t>Danske Skoleelever</w:t>
      </w:r>
      <w:r w:rsidRPr="000D4513">
        <w:rPr>
          <w:szCs w:val="22"/>
        </w:rPr>
        <w:t xml:space="preserve"> ser behov for en klarere forvaltningspraksis og forenklet og hurtigere behandling af klagesager, herunder at kravene til de respektive aktører præciseres. De</w:t>
      </w:r>
      <w:r w:rsidR="0045474B" w:rsidRPr="000D4513">
        <w:rPr>
          <w:szCs w:val="22"/>
        </w:rPr>
        <w:t xml:space="preserve">r ønskes endvidere mere fokus på </w:t>
      </w:r>
      <w:r w:rsidRPr="000D4513">
        <w:rPr>
          <w:szCs w:val="22"/>
        </w:rPr>
        <w:t>elevernes ret</w:t>
      </w:r>
      <w:r w:rsidR="0045474B" w:rsidRPr="000D4513">
        <w:rPr>
          <w:szCs w:val="22"/>
        </w:rPr>
        <w:t>tigheder i</w:t>
      </w:r>
      <w:r w:rsidRPr="000D4513">
        <w:rPr>
          <w:szCs w:val="22"/>
        </w:rPr>
        <w:t xml:space="preserve"> klageinstans</w:t>
      </w:r>
      <w:r w:rsidR="0045474B" w:rsidRPr="000D4513">
        <w:rPr>
          <w:szCs w:val="22"/>
        </w:rPr>
        <w:t>en</w:t>
      </w:r>
      <w:r w:rsidRPr="000D4513">
        <w:rPr>
          <w:szCs w:val="22"/>
        </w:rPr>
        <w:t xml:space="preserve">, </w:t>
      </w:r>
      <w:r w:rsidR="0045474B" w:rsidRPr="000D4513">
        <w:rPr>
          <w:szCs w:val="22"/>
        </w:rPr>
        <w:t>herunder navnlig mulighed for at kunne</w:t>
      </w:r>
      <w:r w:rsidRPr="000D4513">
        <w:rPr>
          <w:szCs w:val="22"/>
        </w:rPr>
        <w:t xml:space="preserve"> gå videre i sager, hvor der </w:t>
      </w:r>
      <w:r w:rsidR="0045474B" w:rsidRPr="000D4513">
        <w:rPr>
          <w:szCs w:val="22"/>
        </w:rPr>
        <w:t xml:space="preserve">lokalt </w:t>
      </w:r>
      <w:r w:rsidRPr="000D4513">
        <w:rPr>
          <w:szCs w:val="22"/>
        </w:rPr>
        <w:t>ikke handles tilstrækkeligt på baggrund af mobningen.</w:t>
      </w:r>
      <w:r w:rsidR="0045474B" w:rsidRPr="000D4513">
        <w:rPr>
          <w:szCs w:val="22"/>
        </w:rPr>
        <w:t xml:space="preserve"> Endelig ønske</w:t>
      </w:r>
      <w:r w:rsidR="00970DA4" w:rsidRPr="000D4513">
        <w:rPr>
          <w:szCs w:val="22"/>
        </w:rPr>
        <w:t>s</w:t>
      </w:r>
      <w:r w:rsidR="0045474B" w:rsidRPr="000D4513">
        <w:rPr>
          <w:szCs w:val="22"/>
        </w:rPr>
        <w:t xml:space="preserve"> alle </w:t>
      </w:r>
      <w:r w:rsidR="0045474B" w:rsidRPr="000D4513">
        <w:rPr>
          <w:szCs w:val="22"/>
        </w:rPr>
        <w:lastRenderedPageBreak/>
        <w:t>klagesagerne samlet hos DCUM, hvor der kan oparbejdes ekspertise og rutine, som kan gør</w:t>
      </w:r>
      <w:r w:rsidR="00970DA4" w:rsidRPr="000D4513">
        <w:rPr>
          <w:szCs w:val="22"/>
        </w:rPr>
        <w:t>e</w:t>
      </w:r>
      <w:r w:rsidR="0045474B" w:rsidRPr="000D4513">
        <w:rPr>
          <w:szCs w:val="22"/>
        </w:rPr>
        <w:t xml:space="preserve"> sagsbehandlingen bedre og mere effektiv.</w:t>
      </w:r>
    </w:p>
    <w:p w14:paraId="71CD1DB7" w14:textId="77777777" w:rsidR="007F0FE0" w:rsidRPr="000D4513" w:rsidRDefault="007F0FE0" w:rsidP="00C90539">
      <w:pPr>
        <w:pStyle w:val="Brdtekst"/>
        <w:rPr>
          <w:szCs w:val="22"/>
        </w:rPr>
      </w:pPr>
    </w:p>
    <w:p w14:paraId="64F9E14D" w14:textId="00A74DBC" w:rsidR="007F0FE0" w:rsidRPr="000D4513" w:rsidRDefault="007F0FE0" w:rsidP="005C1385">
      <w:pPr>
        <w:autoSpaceDE w:val="0"/>
        <w:autoSpaceDN w:val="0"/>
        <w:adjustRightInd w:val="0"/>
        <w:rPr>
          <w:rFonts w:cs="Times New Roman"/>
          <w:szCs w:val="22"/>
        </w:rPr>
      </w:pPr>
      <w:r w:rsidRPr="000D4513">
        <w:rPr>
          <w:rFonts w:cs="Times New Roman"/>
          <w:szCs w:val="22"/>
          <w:u w:val="single"/>
        </w:rPr>
        <w:t>Dansk Friskoleforening</w:t>
      </w:r>
      <w:r w:rsidRPr="000D4513">
        <w:rPr>
          <w:rFonts w:cs="Times New Roman"/>
          <w:szCs w:val="22"/>
        </w:rPr>
        <w:t xml:space="preserve"> bemærker</w:t>
      </w:r>
      <w:r w:rsidR="005C1385" w:rsidRPr="000D4513">
        <w:rPr>
          <w:szCs w:val="22"/>
        </w:rPr>
        <w:t>, at</w:t>
      </w:r>
      <w:r w:rsidRPr="000D4513">
        <w:rPr>
          <w:szCs w:val="22"/>
        </w:rPr>
        <w:t xml:space="preserve"> d</w:t>
      </w:r>
      <w:r w:rsidRPr="000D4513">
        <w:rPr>
          <w:rFonts w:cs="Times New Roman"/>
          <w:szCs w:val="22"/>
        </w:rPr>
        <w:t>e</w:t>
      </w:r>
      <w:r w:rsidR="005C1385" w:rsidRPr="000D4513">
        <w:rPr>
          <w:rFonts w:cs="Times New Roman"/>
          <w:szCs w:val="22"/>
        </w:rPr>
        <w:t>t</w:t>
      </w:r>
      <w:r w:rsidRPr="000D4513">
        <w:rPr>
          <w:rFonts w:cs="Times New Roman"/>
          <w:szCs w:val="22"/>
        </w:rPr>
        <w:t xml:space="preserve"> frie </w:t>
      </w:r>
      <w:r w:rsidR="005C1385" w:rsidRPr="000D4513">
        <w:rPr>
          <w:rFonts w:cs="Times New Roman"/>
          <w:szCs w:val="22"/>
        </w:rPr>
        <w:t>skoleområde</w:t>
      </w:r>
      <w:r w:rsidRPr="000D4513">
        <w:rPr>
          <w:rFonts w:cs="Times New Roman"/>
          <w:szCs w:val="22"/>
        </w:rPr>
        <w:t xml:space="preserve"> </w:t>
      </w:r>
      <w:r w:rsidR="005C1385" w:rsidRPr="000D4513">
        <w:rPr>
          <w:szCs w:val="22"/>
        </w:rPr>
        <w:t xml:space="preserve">alene er </w:t>
      </w:r>
      <w:r w:rsidRPr="000D4513">
        <w:rPr>
          <w:rFonts w:cs="Times New Roman"/>
          <w:szCs w:val="22"/>
        </w:rPr>
        <w:t>underlagt forvaltningsloven</w:t>
      </w:r>
      <w:r w:rsidR="005C1385" w:rsidRPr="000D4513">
        <w:rPr>
          <w:szCs w:val="22"/>
        </w:rPr>
        <w:t xml:space="preserve"> </w:t>
      </w:r>
      <w:r w:rsidRPr="000D4513">
        <w:rPr>
          <w:rFonts w:cs="Times New Roman"/>
          <w:szCs w:val="22"/>
        </w:rPr>
        <w:t xml:space="preserve">på enkeltområder, </w:t>
      </w:r>
      <w:r w:rsidR="005C1385" w:rsidRPr="000D4513">
        <w:rPr>
          <w:szCs w:val="22"/>
        </w:rPr>
        <w:t xml:space="preserve">og </w:t>
      </w:r>
      <w:r w:rsidRPr="000D4513">
        <w:rPr>
          <w:rFonts w:cs="Times New Roman"/>
          <w:szCs w:val="22"/>
        </w:rPr>
        <w:t xml:space="preserve">at </w:t>
      </w:r>
      <w:r w:rsidR="005C1385" w:rsidRPr="000D4513">
        <w:rPr>
          <w:szCs w:val="22"/>
        </w:rPr>
        <w:t>der</w:t>
      </w:r>
      <w:r w:rsidRPr="000D4513">
        <w:rPr>
          <w:rFonts w:cs="Times New Roman"/>
          <w:szCs w:val="22"/>
        </w:rPr>
        <w:t xml:space="preserve"> derfor</w:t>
      </w:r>
      <w:r w:rsidR="005C1385" w:rsidRPr="000D4513">
        <w:rPr>
          <w:szCs w:val="22"/>
        </w:rPr>
        <w:t xml:space="preserve"> </w:t>
      </w:r>
      <w:r w:rsidRPr="000D4513">
        <w:rPr>
          <w:rFonts w:cs="Times New Roman"/>
          <w:szCs w:val="22"/>
        </w:rPr>
        <w:t>ikke nødvendigvis</w:t>
      </w:r>
      <w:r w:rsidR="005C1385" w:rsidRPr="000D4513">
        <w:rPr>
          <w:szCs w:val="22"/>
        </w:rPr>
        <w:t xml:space="preserve"> på sådanne institutioner </w:t>
      </w:r>
      <w:r w:rsidR="00BA7A45">
        <w:rPr>
          <w:szCs w:val="22"/>
        </w:rPr>
        <w:t>findes</w:t>
      </w:r>
      <w:r w:rsidRPr="000D4513">
        <w:rPr>
          <w:rFonts w:cs="Times New Roman"/>
          <w:szCs w:val="22"/>
        </w:rPr>
        <w:t xml:space="preserve"> en naturlig procedure omkring notater, journalisering og afgørelser</w:t>
      </w:r>
      <w:r w:rsidR="005C1385" w:rsidRPr="000D4513">
        <w:rPr>
          <w:szCs w:val="22"/>
        </w:rPr>
        <w:t xml:space="preserve"> </w:t>
      </w:r>
      <w:r w:rsidRPr="000D4513">
        <w:rPr>
          <w:rFonts w:cs="Times New Roman"/>
          <w:szCs w:val="22"/>
        </w:rPr>
        <w:t>efter forvaltningsloven.</w:t>
      </w:r>
      <w:r w:rsidR="005C1385" w:rsidRPr="000D4513">
        <w:rPr>
          <w:rFonts w:cs="Times New Roman"/>
          <w:szCs w:val="22"/>
        </w:rPr>
        <w:t xml:space="preserve"> Der peges i denne henseende på, at et opgør med den eksisterende mundtlighedskultur vil </w:t>
      </w:r>
      <w:r w:rsidR="00BA7A45">
        <w:rPr>
          <w:rFonts w:cs="Times New Roman"/>
          <w:szCs w:val="22"/>
        </w:rPr>
        <w:t xml:space="preserve">være </w:t>
      </w:r>
      <w:r w:rsidR="005C1385" w:rsidRPr="000D4513">
        <w:rPr>
          <w:rFonts w:cs="Times New Roman"/>
          <w:szCs w:val="22"/>
        </w:rPr>
        <w:t>vanskelig at implementere. Det fremhæves endvidere, at de frie grundskoler har en valgt bestyrelse bestående af forældre m.v., der organisatorisk står over skolelederen, hvilket bør tænkes ind ved evt. tilpasning af regelsættet. Det bemærkes derudover, at en klage i første instans ikke vil kunne trækkes ud af det frie skoleområde og henlægges til en anden myndighed.</w:t>
      </w:r>
    </w:p>
    <w:p w14:paraId="61452F7F" w14:textId="77777777" w:rsidR="005C1385" w:rsidRPr="000D4513" w:rsidRDefault="005C1385" w:rsidP="007061AD">
      <w:pPr>
        <w:pStyle w:val="Brdtekst"/>
        <w:rPr>
          <w:szCs w:val="22"/>
        </w:rPr>
      </w:pPr>
    </w:p>
    <w:p w14:paraId="363C03E3" w14:textId="02A30E58" w:rsidR="007061AD" w:rsidRPr="000D4513" w:rsidRDefault="007061AD" w:rsidP="007061AD">
      <w:pPr>
        <w:pStyle w:val="Brdtekst"/>
        <w:rPr>
          <w:szCs w:val="22"/>
        </w:rPr>
      </w:pPr>
      <w:r w:rsidRPr="000D4513">
        <w:rPr>
          <w:szCs w:val="22"/>
          <w:u w:val="single"/>
        </w:rPr>
        <w:t>DCUM</w:t>
      </w:r>
      <w:r w:rsidRPr="000D4513">
        <w:rPr>
          <w:szCs w:val="22"/>
        </w:rPr>
        <w:t xml:space="preserve"> bemærker om klageordningen, at Epinions evaluering understøtte</w:t>
      </w:r>
      <w:r w:rsidR="00970DA4" w:rsidRPr="000D4513">
        <w:rPr>
          <w:szCs w:val="22"/>
        </w:rPr>
        <w:t>r</w:t>
      </w:r>
      <w:r w:rsidRPr="000D4513">
        <w:rPr>
          <w:szCs w:val="22"/>
        </w:rPr>
        <w:t>, at der er tale</w:t>
      </w:r>
      <w:r w:rsidR="00BA7A45">
        <w:rPr>
          <w:szCs w:val="22"/>
        </w:rPr>
        <w:t xml:space="preserve"> om</w:t>
      </w:r>
      <w:r w:rsidRPr="000D4513">
        <w:rPr>
          <w:szCs w:val="22"/>
        </w:rPr>
        <w:t xml:space="preserve"> en retssikkerhedsordning, som elever og forældre værdsætter</w:t>
      </w:r>
      <w:r w:rsidR="00DA5804">
        <w:rPr>
          <w:szCs w:val="22"/>
        </w:rPr>
        <w:t>,</w:t>
      </w:r>
      <w:r w:rsidRPr="000D4513">
        <w:rPr>
          <w:szCs w:val="22"/>
        </w:rPr>
        <w:t xml:space="preserve"> uanset om de i deres konkrete sag har fået medhold eller ej. DCUM peger også på, at, klageadgangen skærper skolernes fokus i forhold til at arbejde med systematikken og skolens parathed – særligt når den har haft en klagesag og derigennem fået vejledning. DCUM bemærker, at det samlede tidsforløb for en sag om mobning ofte strækker sig over meget lang tid – i nogle tilfælde op til et år – og peger på, at det samlede tidsforløb for en sag er nødt til at forkortes.</w:t>
      </w:r>
    </w:p>
    <w:p w14:paraId="376DF2C2" w14:textId="77777777" w:rsidR="00356DCA" w:rsidRPr="000D4513" w:rsidRDefault="00356DCA" w:rsidP="007061AD">
      <w:pPr>
        <w:pStyle w:val="Brdtekst"/>
        <w:rPr>
          <w:szCs w:val="22"/>
        </w:rPr>
      </w:pPr>
    </w:p>
    <w:p w14:paraId="1006C768" w14:textId="14978612" w:rsidR="003E3A80" w:rsidRPr="000D4513" w:rsidRDefault="003E3A80" w:rsidP="007061AD">
      <w:pPr>
        <w:pStyle w:val="Brdtekst"/>
        <w:rPr>
          <w:szCs w:val="22"/>
        </w:rPr>
      </w:pPr>
      <w:r w:rsidRPr="000D4513">
        <w:rPr>
          <w:szCs w:val="22"/>
          <w:u w:val="single"/>
        </w:rPr>
        <w:t>FFFP (Foreningen for forældre til elever i Fri- og Privatskoler)</w:t>
      </w:r>
      <w:r w:rsidRPr="000D4513">
        <w:rPr>
          <w:szCs w:val="22"/>
        </w:rPr>
        <w:t xml:space="preserve"> </w:t>
      </w:r>
      <w:r w:rsidR="005F103D" w:rsidRPr="000D4513">
        <w:rPr>
          <w:szCs w:val="22"/>
        </w:rPr>
        <w:t xml:space="preserve">finder, </w:t>
      </w:r>
      <w:r w:rsidR="005F103D" w:rsidRPr="000D4513">
        <w:rPr>
          <w:szCs w:val="22"/>
          <w:u w:val="single"/>
        </w:rPr>
        <w:t>at</w:t>
      </w:r>
      <w:r w:rsidRPr="000D4513">
        <w:rPr>
          <w:szCs w:val="22"/>
        </w:rPr>
        <w:t xml:space="preserve"> klageinstansen bør fortsætte efter den 31. juli 2022</w:t>
      </w:r>
      <w:r w:rsidR="005F103D" w:rsidRPr="000D4513">
        <w:rPr>
          <w:szCs w:val="22"/>
        </w:rPr>
        <w:t xml:space="preserve">, </w:t>
      </w:r>
      <w:r w:rsidR="005F103D" w:rsidRPr="000D4513">
        <w:rPr>
          <w:szCs w:val="22"/>
          <w:u w:val="single"/>
        </w:rPr>
        <w:t>at</w:t>
      </w:r>
      <w:r w:rsidR="005F103D" w:rsidRPr="000D4513">
        <w:rPr>
          <w:szCs w:val="22"/>
        </w:rPr>
        <w:t xml:space="preserve"> k</w:t>
      </w:r>
      <w:r w:rsidRPr="000D4513">
        <w:rPr>
          <w:szCs w:val="22"/>
        </w:rPr>
        <w:t>lage over mobning skal give direkte mulighed for at aktivere handlingsplan</w:t>
      </w:r>
      <w:r w:rsidR="005F103D" w:rsidRPr="000D4513">
        <w:rPr>
          <w:szCs w:val="22"/>
        </w:rPr>
        <w:t xml:space="preserve">, </w:t>
      </w:r>
      <w:r w:rsidR="005F103D" w:rsidRPr="000D4513">
        <w:rPr>
          <w:szCs w:val="22"/>
          <w:u w:val="single"/>
        </w:rPr>
        <w:t>at</w:t>
      </w:r>
      <w:r w:rsidR="005F103D" w:rsidRPr="000D4513">
        <w:rPr>
          <w:szCs w:val="22"/>
        </w:rPr>
        <w:t xml:space="preserve"> uddannelsesstedet automatisk skal orientere klageinstansen om klagemodtagelse og </w:t>
      </w:r>
      <w:r w:rsidR="00DA5804">
        <w:rPr>
          <w:szCs w:val="22"/>
        </w:rPr>
        <w:t>-</w:t>
      </w:r>
      <w:r w:rsidR="005F103D" w:rsidRPr="000D4513">
        <w:rPr>
          <w:szCs w:val="22"/>
        </w:rPr>
        <w:t xml:space="preserve">afgørelse, </w:t>
      </w:r>
      <w:r w:rsidR="005F103D" w:rsidRPr="000D4513">
        <w:rPr>
          <w:szCs w:val="22"/>
          <w:u w:val="single"/>
        </w:rPr>
        <w:t>at</w:t>
      </w:r>
      <w:r w:rsidR="005F103D" w:rsidRPr="000D4513">
        <w:rPr>
          <w:szCs w:val="22"/>
        </w:rPr>
        <w:t xml:space="preserve"> klageinstansen skal træffe en afgørelse inden 10 dage, </w:t>
      </w:r>
      <w:r w:rsidR="005F103D" w:rsidRPr="000D4513">
        <w:rPr>
          <w:szCs w:val="22"/>
          <w:u w:val="single"/>
        </w:rPr>
        <w:t>at</w:t>
      </w:r>
      <w:r w:rsidR="005F103D" w:rsidRPr="000D4513">
        <w:rPr>
          <w:szCs w:val="22"/>
        </w:rPr>
        <w:t xml:space="preserve"> der stilles konkrete krav til indholdet af handlingsplaner</w:t>
      </w:r>
      <w:r w:rsidR="00BA7A45">
        <w:rPr>
          <w:szCs w:val="22"/>
        </w:rPr>
        <w:t>,</w:t>
      </w:r>
      <w:r w:rsidR="005F103D" w:rsidRPr="000D4513">
        <w:rPr>
          <w:szCs w:val="22"/>
        </w:rPr>
        <w:t xml:space="preserve"> og </w:t>
      </w:r>
      <w:r w:rsidR="005F103D" w:rsidRPr="000D4513">
        <w:rPr>
          <w:szCs w:val="22"/>
          <w:u w:val="single"/>
        </w:rPr>
        <w:t>at</w:t>
      </w:r>
      <w:r w:rsidR="005F103D" w:rsidRPr="000D4513">
        <w:rPr>
          <w:szCs w:val="22"/>
        </w:rPr>
        <w:t xml:space="preserve"> det ikke må være et krav for klageadgang, at eleven fortsat går på uddannelsesstedet. </w:t>
      </w:r>
      <w:r w:rsidR="007F4012" w:rsidRPr="000D4513">
        <w:rPr>
          <w:szCs w:val="22"/>
        </w:rPr>
        <w:t>Endelig</w:t>
      </w:r>
      <w:r w:rsidR="005F103D" w:rsidRPr="000D4513">
        <w:rPr>
          <w:szCs w:val="22"/>
        </w:rPr>
        <w:t xml:space="preserve"> opfordres til, at der indføres reaktionskonsekvenser, hvis uddannelsesstedet vælger at være passiv eller h</w:t>
      </w:r>
      <w:r w:rsidR="007F4012" w:rsidRPr="000D4513">
        <w:rPr>
          <w:szCs w:val="22"/>
        </w:rPr>
        <w:t>andle</w:t>
      </w:r>
      <w:r w:rsidR="005F103D" w:rsidRPr="000D4513">
        <w:rPr>
          <w:szCs w:val="22"/>
        </w:rPr>
        <w:t xml:space="preserve"> utilstrækkeligt</w:t>
      </w:r>
      <w:r w:rsidR="007F4012" w:rsidRPr="000D4513">
        <w:rPr>
          <w:szCs w:val="22"/>
        </w:rPr>
        <w:t>.</w:t>
      </w:r>
      <w:r w:rsidRPr="000D4513">
        <w:rPr>
          <w:szCs w:val="22"/>
        </w:rPr>
        <w:br/>
      </w:r>
    </w:p>
    <w:p w14:paraId="6F1CACD5" w14:textId="4977C9A0" w:rsidR="00A22156" w:rsidRPr="000D4513" w:rsidRDefault="00A22156" w:rsidP="007061AD">
      <w:pPr>
        <w:rPr>
          <w:rFonts w:cstheme="minorHAnsi"/>
          <w:szCs w:val="22"/>
        </w:rPr>
      </w:pPr>
      <w:r w:rsidRPr="000D4513">
        <w:rPr>
          <w:rFonts w:cstheme="minorHAnsi"/>
          <w:szCs w:val="22"/>
          <w:u w:val="single"/>
        </w:rPr>
        <w:t>Danske HF &amp; VUC</w:t>
      </w:r>
      <w:r w:rsidRPr="000D4513">
        <w:rPr>
          <w:rFonts w:cstheme="minorHAnsi"/>
          <w:szCs w:val="22"/>
        </w:rPr>
        <w:t xml:space="preserve"> støtter op om bestemmelserne om</w:t>
      </w:r>
      <w:r w:rsidR="00BA7A45">
        <w:rPr>
          <w:rFonts w:cstheme="minorHAnsi"/>
          <w:szCs w:val="22"/>
        </w:rPr>
        <w:t>,</w:t>
      </w:r>
      <w:r w:rsidRPr="000D4513">
        <w:rPr>
          <w:rFonts w:cstheme="minorHAnsi"/>
          <w:szCs w:val="22"/>
        </w:rPr>
        <w:t xml:space="preserve"> at alle grundskoler og ungdomsuddannelser skal udforme en antimobbestrategi samt en handlingsplan for, hvordan mobning afhjælpes.</w:t>
      </w:r>
    </w:p>
    <w:p w14:paraId="3A1F4F3B" w14:textId="77777777" w:rsidR="00A22156" w:rsidRPr="000D4513" w:rsidRDefault="00A22156" w:rsidP="007061AD">
      <w:pPr>
        <w:rPr>
          <w:rFonts w:cstheme="minorHAnsi"/>
          <w:szCs w:val="22"/>
        </w:rPr>
      </w:pPr>
    </w:p>
    <w:p w14:paraId="5E2F5AFB" w14:textId="2D5DC944" w:rsidR="00FF6615" w:rsidRPr="000D4513" w:rsidRDefault="00FF6615" w:rsidP="007D22E7">
      <w:pPr>
        <w:autoSpaceDE w:val="0"/>
        <w:autoSpaceDN w:val="0"/>
        <w:adjustRightInd w:val="0"/>
        <w:rPr>
          <w:rFonts w:cstheme="minorHAnsi"/>
          <w:szCs w:val="22"/>
        </w:rPr>
      </w:pPr>
      <w:r w:rsidRPr="000D4513">
        <w:rPr>
          <w:rFonts w:cstheme="minorHAnsi"/>
          <w:szCs w:val="22"/>
          <w:u w:val="single"/>
        </w:rPr>
        <w:t>Red Barnet</w:t>
      </w:r>
      <w:r w:rsidRPr="000D4513">
        <w:rPr>
          <w:rFonts w:cstheme="minorHAnsi"/>
          <w:szCs w:val="22"/>
        </w:rPr>
        <w:t xml:space="preserve"> anser det for yderst problematisk, at klager kan blive afvist pga. manglende dokumentation fra uddannelsesinstitutionens side</w:t>
      </w:r>
      <w:r w:rsidR="007D22E7" w:rsidRPr="000D4513">
        <w:rPr>
          <w:rFonts w:cstheme="minorHAnsi"/>
          <w:szCs w:val="22"/>
        </w:rPr>
        <w:t>, da klagepunktet netop kan gå på, at skolen ikke har handlet</w:t>
      </w:r>
      <w:r w:rsidRPr="000D4513">
        <w:rPr>
          <w:rFonts w:cstheme="minorHAnsi"/>
          <w:szCs w:val="22"/>
        </w:rPr>
        <w:t>.</w:t>
      </w:r>
      <w:r w:rsidR="007D22E7" w:rsidRPr="000D4513">
        <w:rPr>
          <w:rFonts w:cstheme="minorHAnsi"/>
          <w:szCs w:val="22"/>
        </w:rPr>
        <w:t xml:space="preserve"> Den gennemsnitlige sagsbehandlingstid findes for lang. Det vurderes væsentligt, at der er adgang til at klage, og det betragtes som et vigtigt opmærksomhedspunkt, at klageinstansens eksistens tjener flere formål end blot at fungere som tvistløsningsorgan.</w:t>
      </w:r>
    </w:p>
    <w:p w14:paraId="59C23323" w14:textId="77777777" w:rsidR="00FF6615" w:rsidRPr="000D4513" w:rsidRDefault="00FF6615" w:rsidP="007061AD">
      <w:pPr>
        <w:rPr>
          <w:rFonts w:cstheme="minorHAnsi"/>
          <w:szCs w:val="22"/>
        </w:rPr>
      </w:pPr>
    </w:p>
    <w:p w14:paraId="0A30AB65" w14:textId="01FEF061" w:rsidR="00356DCA" w:rsidRPr="000D4513" w:rsidRDefault="00356DCA" w:rsidP="007061AD">
      <w:pPr>
        <w:rPr>
          <w:rFonts w:cstheme="minorHAnsi"/>
          <w:szCs w:val="22"/>
        </w:rPr>
      </w:pPr>
      <w:r w:rsidRPr="000D4513">
        <w:rPr>
          <w:rFonts w:cstheme="minorHAnsi"/>
          <w:szCs w:val="22"/>
          <w:u w:val="single"/>
        </w:rPr>
        <w:t>Rådet for de Grundlæggende Erhvervsrettede Uddannelser (REU)</w:t>
      </w:r>
      <w:r w:rsidRPr="000D4513">
        <w:rPr>
          <w:rFonts w:cstheme="minorHAnsi"/>
          <w:szCs w:val="22"/>
        </w:rPr>
        <w:t xml:space="preserve"> advarer mod, at der i en eventuel opfølgning på lovovervågningen forfalde</w:t>
      </w:r>
      <w:r w:rsidR="00DA5804">
        <w:rPr>
          <w:rFonts w:cstheme="minorHAnsi"/>
          <w:szCs w:val="22"/>
        </w:rPr>
        <w:t>s</w:t>
      </w:r>
      <w:r w:rsidRPr="000D4513">
        <w:rPr>
          <w:rFonts w:cstheme="minorHAnsi"/>
          <w:szCs w:val="22"/>
        </w:rPr>
        <w:t xml:space="preserve"> til eventuelle yderligere dokumenta</w:t>
      </w:r>
      <w:r w:rsidR="00970DA4" w:rsidRPr="000D4513">
        <w:rPr>
          <w:rFonts w:cstheme="minorHAnsi"/>
          <w:szCs w:val="22"/>
        </w:rPr>
        <w:t>tionskrav, klageadgange m.v</w:t>
      </w:r>
      <w:r w:rsidRPr="000D4513">
        <w:rPr>
          <w:rFonts w:cstheme="minorHAnsi"/>
          <w:szCs w:val="22"/>
        </w:rPr>
        <w:t>.</w:t>
      </w:r>
    </w:p>
    <w:p w14:paraId="082C07D4" w14:textId="77777777" w:rsidR="00356DCA" w:rsidRPr="000D4513" w:rsidRDefault="00356DCA" w:rsidP="007061AD">
      <w:pPr>
        <w:rPr>
          <w:rFonts w:cstheme="minorHAnsi"/>
          <w:szCs w:val="22"/>
        </w:rPr>
      </w:pPr>
    </w:p>
    <w:p w14:paraId="1C350418" w14:textId="633D2D29" w:rsidR="00034FE1" w:rsidRPr="000D4513" w:rsidRDefault="00034FE1" w:rsidP="00034FE1">
      <w:pPr>
        <w:rPr>
          <w:rFonts w:cstheme="minorHAnsi"/>
          <w:szCs w:val="22"/>
        </w:rPr>
      </w:pPr>
      <w:r w:rsidRPr="000D4513">
        <w:rPr>
          <w:rFonts w:cstheme="minorHAnsi"/>
          <w:szCs w:val="22"/>
          <w:u w:val="single"/>
        </w:rPr>
        <w:t>SSP-Samrådet</w:t>
      </w:r>
      <w:r w:rsidRPr="000D4513">
        <w:rPr>
          <w:rFonts w:ascii="Calibri" w:hAnsi="Calibri" w:cs="Calibri"/>
          <w:color w:val="000000"/>
          <w:sz w:val="24"/>
          <w:szCs w:val="24"/>
          <w:u w:val="single"/>
        </w:rPr>
        <w:t xml:space="preserve"> </w:t>
      </w:r>
      <w:r w:rsidRPr="000D4513">
        <w:rPr>
          <w:rFonts w:cstheme="minorHAnsi"/>
          <w:szCs w:val="22"/>
        </w:rPr>
        <w:t>opfordrer til, at klagevejledning bør fremgå på hjemmesider,</w:t>
      </w:r>
      <w:r w:rsidR="00DA5804">
        <w:rPr>
          <w:rFonts w:cstheme="minorHAnsi"/>
          <w:szCs w:val="22"/>
        </w:rPr>
        <w:t xml:space="preserve"> og at der</w:t>
      </w:r>
      <w:r w:rsidRPr="000D4513">
        <w:rPr>
          <w:rFonts w:cstheme="minorHAnsi"/>
          <w:szCs w:val="22"/>
        </w:rPr>
        <w:t xml:space="preserve"> orienteres </w:t>
      </w:r>
      <w:r w:rsidR="00DA5804">
        <w:rPr>
          <w:rFonts w:cstheme="minorHAnsi"/>
          <w:szCs w:val="22"/>
        </w:rPr>
        <w:t>her</w:t>
      </w:r>
      <w:r w:rsidRPr="000D4513">
        <w:rPr>
          <w:rFonts w:cstheme="minorHAnsi"/>
          <w:szCs w:val="22"/>
        </w:rPr>
        <w:t>om ved introduktionsmøder og tidligt ved en forældrehenvendelse om problemer og mobning. Det findes vigtigt, at forældre og børn og unge inddrages så tidligt som muligt</w:t>
      </w:r>
      <w:r w:rsidR="00BA7A45">
        <w:rPr>
          <w:rFonts w:cstheme="minorHAnsi"/>
          <w:szCs w:val="22"/>
        </w:rPr>
        <w:t>,</w:t>
      </w:r>
      <w:r w:rsidRPr="000D4513">
        <w:rPr>
          <w:rFonts w:cstheme="minorHAnsi"/>
          <w:szCs w:val="22"/>
        </w:rPr>
        <w:t xml:space="preserve"> og at der arbejdes systematisk med en genoprettelse af en negativ udvikling.</w:t>
      </w:r>
    </w:p>
    <w:p w14:paraId="38EAC969" w14:textId="77777777" w:rsidR="00034FE1" w:rsidRPr="000D4513" w:rsidRDefault="00034FE1" w:rsidP="00034FE1">
      <w:pPr>
        <w:rPr>
          <w:rFonts w:cstheme="minorHAnsi"/>
          <w:szCs w:val="22"/>
        </w:rPr>
      </w:pPr>
    </w:p>
    <w:p w14:paraId="223D9FEE" w14:textId="77777777" w:rsidR="00702C62" w:rsidRPr="000D4513" w:rsidRDefault="00702C62" w:rsidP="007061AD">
      <w:pPr>
        <w:rPr>
          <w:rFonts w:cstheme="minorHAnsi"/>
          <w:szCs w:val="22"/>
        </w:rPr>
      </w:pPr>
      <w:r w:rsidRPr="000D4513">
        <w:rPr>
          <w:rFonts w:cstheme="minorHAnsi"/>
          <w:szCs w:val="22"/>
          <w:u w:val="single"/>
        </w:rPr>
        <w:t>Uddannelsesforbundet</w:t>
      </w:r>
      <w:r w:rsidRPr="000D4513">
        <w:rPr>
          <w:rFonts w:cstheme="minorHAnsi"/>
          <w:szCs w:val="22"/>
        </w:rPr>
        <w:t xml:space="preserve"> finder det bekymrende, at Epinion i deres perspektivering fremhæver øgede dokumentationskrav som en løsningsmodel. Selvom hensigten er dokumentation med et pædagogiske sigte, så er erfaringen, at det pædagogiske sigte drukner i bureaukrati, når man øger kravene til at dokumentere det pædagogiske arbejde.</w:t>
      </w:r>
    </w:p>
    <w:p w14:paraId="312D3EAF" w14:textId="77777777" w:rsidR="00A22156" w:rsidRPr="000D4513" w:rsidRDefault="00A22156" w:rsidP="007061AD">
      <w:pPr>
        <w:pStyle w:val="Brdtekst"/>
        <w:rPr>
          <w:szCs w:val="22"/>
        </w:rPr>
      </w:pPr>
    </w:p>
    <w:p w14:paraId="2FCA9585" w14:textId="2C585A78" w:rsidR="00AF707A" w:rsidRPr="000D4513" w:rsidRDefault="00AF707A" w:rsidP="009B54C2">
      <w:pPr>
        <w:pStyle w:val="Overskrift2"/>
        <w:ind w:left="426" w:hanging="455"/>
        <w:rPr>
          <w:szCs w:val="22"/>
        </w:rPr>
      </w:pPr>
      <w:bookmarkStart w:id="29" w:name="_Toc54877188"/>
      <w:r w:rsidRPr="000D4513">
        <w:rPr>
          <w:szCs w:val="22"/>
        </w:rPr>
        <w:t xml:space="preserve">Børne- og </w:t>
      </w:r>
      <w:r w:rsidR="00BA7A45">
        <w:rPr>
          <w:szCs w:val="22"/>
        </w:rPr>
        <w:t>U</w:t>
      </w:r>
      <w:r w:rsidRPr="000D4513">
        <w:rPr>
          <w:szCs w:val="22"/>
        </w:rPr>
        <w:t>ndervisningsministeriets bemærkninger og overvejelser</w:t>
      </w:r>
      <w:bookmarkEnd w:id="29"/>
    </w:p>
    <w:p w14:paraId="075653E1" w14:textId="609498BB" w:rsidR="005B5925" w:rsidRPr="000D4513" w:rsidRDefault="005B5925" w:rsidP="005B5925">
      <w:pPr>
        <w:rPr>
          <w:szCs w:val="22"/>
        </w:rPr>
      </w:pPr>
      <w:r w:rsidRPr="000D4513">
        <w:rPr>
          <w:szCs w:val="22"/>
          <w:u w:val="single"/>
        </w:rPr>
        <w:t>Klageinstansen</w:t>
      </w:r>
    </w:p>
    <w:p w14:paraId="53FD846F" w14:textId="37515872" w:rsidR="005B5925" w:rsidRPr="000D4513" w:rsidRDefault="005B5925" w:rsidP="005B5925">
      <w:pPr>
        <w:rPr>
          <w:szCs w:val="22"/>
        </w:rPr>
      </w:pPr>
      <w:r w:rsidRPr="000D4513">
        <w:rPr>
          <w:szCs w:val="22"/>
        </w:rPr>
        <w:t xml:space="preserve">Som allerede omtalt i afsnit </w:t>
      </w:r>
      <w:r w:rsidRPr="000D4513">
        <w:rPr>
          <w:szCs w:val="22"/>
        </w:rPr>
        <w:fldChar w:fldCharType="begin"/>
      </w:r>
      <w:r w:rsidRPr="000D4513">
        <w:rPr>
          <w:szCs w:val="22"/>
        </w:rPr>
        <w:instrText xml:space="preserve"> REF _Ref52960969 \r \h </w:instrText>
      </w:r>
      <w:r w:rsidR="000D4513">
        <w:rPr>
          <w:szCs w:val="22"/>
        </w:rPr>
        <w:instrText xml:space="preserve"> \* MERGEFORMAT </w:instrText>
      </w:r>
      <w:r w:rsidRPr="000D4513">
        <w:rPr>
          <w:szCs w:val="22"/>
        </w:rPr>
      </w:r>
      <w:r w:rsidRPr="000D4513">
        <w:rPr>
          <w:szCs w:val="22"/>
        </w:rPr>
        <w:fldChar w:fldCharType="separate"/>
      </w:r>
      <w:r w:rsidR="00D75B58" w:rsidRPr="000D4513">
        <w:rPr>
          <w:szCs w:val="22"/>
        </w:rPr>
        <w:t>6</w:t>
      </w:r>
      <w:r w:rsidRPr="000D4513">
        <w:rPr>
          <w:szCs w:val="22"/>
        </w:rPr>
        <w:fldChar w:fldCharType="end"/>
      </w:r>
      <w:r w:rsidRPr="000D4513">
        <w:rPr>
          <w:szCs w:val="22"/>
        </w:rPr>
        <w:t xml:space="preserve"> er der i al væsentlighed ingen tilkendegivelser </w:t>
      </w:r>
      <w:r w:rsidR="00AB7D22" w:rsidRPr="000D4513">
        <w:rPr>
          <w:szCs w:val="22"/>
        </w:rPr>
        <w:t xml:space="preserve">i høringen </w:t>
      </w:r>
      <w:r w:rsidRPr="000D4513">
        <w:rPr>
          <w:szCs w:val="22"/>
        </w:rPr>
        <w:t>om, at klageordningen og klageinstansen bør afskaffes</w:t>
      </w:r>
      <w:r w:rsidR="00AB7D22" w:rsidRPr="000D4513">
        <w:rPr>
          <w:szCs w:val="22"/>
        </w:rPr>
        <w:t xml:space="preserve"> igen</w:t>
      </w:r>
      <w:r w:rsidRPr="000D4513">
        <w:rPr>
          <w:szCs w:val="22"/>
        </w:rPr>
        <w:t>. En del høringsparter giver udtrykkeligt udtryk for, at klageordningen og klageinstansen bør videreføres.</w:t>
      </w:r>
    </w:p>
    <w:p w14:paraId="6DBAE987" w14:textId="77777777" w:rsidR="005B5925" w:rsidRPr="000D4513" w:rsidRDefault="005B5925" w:rsidP="005B5925">
      <w:pPr>
        <w:rPr>
          <w:szCs w:val="22"/>
        </w:rPr>
      </w:pPr>
    </w:p>
    <w:p w14:paraId="73263A91" w14:textId="45DE50CB" w:rsidR="005B5925" w:rsidRPr="000D4513" w:rsidRDefault="0042323B" w:rsidP="005B5925">
      <w:pPr>
        <w:rPr>
          <w:szCs w:val="22"/>
        </w:rPr>
      </w:pPr>
      <w:r w:rsidRPr="000D4513">
        <w:rPr>
          <w:szCs w:val="22"/>
        </w:rPr>
        <w:t>Det overordnede indtryk af Epinions evaluering og høringssvarene er</w:t>
      </w:r>
      <w:r w:rsidR="005B5925" w:rsidRPr="000D4513">
        <w:rPr>
          <w:szCs w:val="22"/>
        </w:rPr>
        <w:t xml:space="preserve">, </w:t>
      </w:r>
      <w:r w:rsidR="00AB7D22" w:rsidRPr="000D4513">
        <w:rPr>
          <w:szCs w:val="22"/>
        </w:rPr>
        <w:t>at elever og forældre</w:t>
      </w:r>
      <w:r w:rsidRPr="000D4513">
        <w:rPr>
          <w:szCs w:val="22"/>
        </w:rPr>
        <w:t xml:space="preserve"> på deres side</w:t>
      </w:r>
      <w:r w:rsidR="00AB7D22" w:rsidRPr="000D4513">
        <w:rPr>
          <w:szCs w:val="22"/>
        </w:rPr>
        <w:t xml:space="preserve"> </w:t>
      </w:r>
      <w:r w:rsidRPr="000D4513">
        <w:rPr>
          <w:szCs w:val="22"/>
        </w:rPr>
        <w:t>opfatter</w:t>
      </w:r>
      <w:r w:rsidR="00AB7D22" w:rsidRPr="000D4513">
        <w:rPr>
          <w:szCs w:val="22"/>
        </w:rPr>
        <w:t xml:space="preserve"> klageordningen og klageinstansen som en </w:t>
      </w:r>
      <w:r w:rsidRPr="000D4513">
        <w:rPr>
          <w:szCs w:val="22"/>
        </w:rPr>
        <w:t xml:space="preserve">ordning, der giver en </w:t>
      </w:r>
      <w:r w:rsidR="00AB7D22" w:rsidRPr="000D4513">
        <w:rPr>
          <w:szCs w:val="22"/>
        </w:rPr>
        <w:t>retssikkerheds</w:t>
      </w:r>
      <w:r w:rsidRPr="000D4513">
        <w:rPr>
          <w:szCs w:val="22"/>
        </w:rPr>
        <w:t xml:space="preserve">følelse og en løftestang over for uddannelsesstedet. Uddannelsessteder og forvaltninger kan på deres side være uenige </w:t>
      </w:r>
      <w:r w:rsidR="00E94027" w:rsidRPr="000D4513">
        <w:rPr>
          <w:szCs w:val="22"/>
        </w:rPr>
        <w:t>i de procedurer og det bureaukrati, der er knyttet til</w:t>
      </w:r>
      <w:r w:rsidRPr="000D4513">
        <w:rPr>
          <w:szCs w:val="22"/>
        </w:rPr>
        <w:t xml:space="preserve"> klageinstans</w:t>
      </w:r>
      <w:r w:rsidR="00E94027" w:rsidRPr="000D4513">
        <w:rPr>
          <w:szCs w:val="22"/>
        </w:rPr>
        <w:t>en, men anerkender i al væsentlighed, at ordningen bidrager til, at der lokalt sættes fokus på</w:t>
      </w:r>
      <w:r w:rsidRPr="000D4513">
        <w:rPr>
          <w:szCs w:val="22"/>
        </w:rPr>
        <w:t xml:space="preserve"> procedurer og overvejelser </w:t>
      </w:r>
      <w:r w:rsidR="00E94027" w:rsidRPr="000D4513">
        <w:rPr>
          <w:szCs w:val="22"/>
        </w:rPr>
        <w:t>med hensyn til håndtering af</w:t>
      </w:r>
      <w:r w:rsidRPr="000D4513">
        <w:rPr>
          <w:szCs w:val="22"/>
        </w:rPr>
        <w:t xml:space="preserve"> mobning</w:t>
      </w:r>
      <w:r w:rsidR="005B5925" w:rsidRPr="000D4513">
        <w:rPr>
          <w:szCs w:val="22"/>
        </w:rPr>
        <w:t>.</w:t>
      </w:r>
      <w:r w:rsidR="00AB7D22" w:rsidRPr="000D4513">
        <w:rPr>
          <w:szCs w:val="22"/>
        </w:rPr>
        <w:t xml:space="preserve"> </w:t>
      </w:r>
      <w:r w:rsidRPr="000D4513">
        <w:rPr>
          <w:szCs w:val="22"/>
        </w:rPr>
        <w:t xml:space="preserve">Hertil kommer </w:t>
      </w:r>
      <w:r w:rsidR="00623A00" w:rsidRPr="000D4513">
        <w:rPr>
          <w:szCs w:val="22"/>
        </w:rPr>
        <w:t>DCUM</w:t>
      </w:r>
      <w:r w:rsidRPr="000D4513">
        <w:rPr>
          <w:szCs w:val="22"/>
        </w:rPr>
        <w:t>s tilkendegivelse om</w:t>
      </w:r>
      <w:r w:rsidR="00623A00" w:rsidRPr="000D4513">
        <w:rPr>
          <w:szCs w:val="22"/>
        </w:rPr>
        <w:t>, at</w:t>
      </w:r>
      <w:r w:rsidRPr="000D4513">
        <w:rPr>
          <w:szCs w:val="22"/>
        </w:rPr>
        <w:t xml:space="preserve"> centrets</w:t>
      </w:r>
      <w:r w:rsidR="00AB7D22" w:rsidRPr="000D4513">
        <w:rPr>
          <w:szCs w:val="22"/>
        </w:rPr>
        <w:t xml:space="preserve"> oplevelse er, at </w:t>
      </w:r>
      <w:r w:rsidR="00623A00" w:rsidRPr="000D4513">
        <w:rPr>
          <w:szCs w:val="22"/>
        </w:rPr>
        <w:t xml:space="preserve">klageadgangen skærper </w:t>
      </w:r>
      <w:r w:rsidR="00AB7D22" w:rsidRPr="000D4513">
        <w:rPr>
          <w:szCs w:val="22"/>
        </w:rPr>
        <w:t>uddannelsesstedernes</w:t>
      </w:r>
      <w:r w:rsidR="00623A00" w:rsidRPr="000D4513">
        <w:rPr>
          <w:szCs w:val="22"/>
        </w:rPr>
        <w:t xml:space="preserve"> fokus i </w:t>
      </w:r>
      <w:r w:rsidR="00AB7D22" w:rsidRPr="000D4513">
        <w:rPr>
          <w:szCs w:val="22"/>
        </w:rPr>
        <w:t>mobbesager, særligt når institutionen</w:t>
      </w:r>
      <w:r w:rsidR="00623A00" w:rsidRPr="000D4513">
        <w:rPr>
          <w:szCs w:val="22"/>
        </w:rPr>
        <w:t xml:space="preserve"> har haft en klagesag og derigennem fået vejledning. </w:t>
      </w:r>
      <w:r w:rsidR="005B5925" w:rsidRPr="000D4513">
        <w:rPr>
          <w:szCs w:val="22"/>
        </w:rPr>
        <w:t xml:space="preserve"> </w:t>
      </w:r>
    </w:p>
    <w:p w14:paraId="2606619E" w14:textId="512AA530" w:rsidR="005B5925" w:rsidRPr="000D4513" w:rsidRDefault="005B5925" w:rsidP="005B5925">
      <w:pPr>
        <w:rPr>
          <w:szCs w:val="22"/>
        </w:rPr>
      </w:pPr>
    </w:p>
    <w:p w14:paraId="63AEB7FA" w14:textId="4B7DA1FB" w:rsidR="00623A00" w:rsidRPr="000D4513" w:rsidRDefault="00E94027" w:rsidP="00AB7D22">
      <w:pPr>
        <w:rPr>
          <w:szCs w:val="22"/>
        </w:rPr>
      </w:pPr>
      <w:r w:rsidRPr="000D4513">
        <w:rPr>
          <w:szCs w:val="22"/>
        </w:rPr>
        <w:t xml:space="preserve">Det er ministeriets opfattelse, at </w:t>
      </w:r>
      <w:r w:rsidR="00BA7A45">
        <w:rPr>
          <w:szCs w:val="22"/>
        </w:rPr>
        <w:t>d</w:t>
      </w:r>
      <w:r w:rsidRPr="000D4513">
        <w:rPr>
          <w:szCs w:val="22"/>
        </w:rPr>
        <w:t>er s</w:t>
      </w:r>
      <w:r w:rsidR="0042323B" w:rsidRPr="000D4513">
        <w:rPr>
          <w:szCs w:val="22"/>
        </w:rPr>
        <w:t>amlet</w:t>
      </w:r>
      <w:r w:rsidR="00623A00" w:rsidRPr="000D4513">
        <w:rPr>
          <w:szCs w:val="22"/>
        </w:rPr>
        <w:t xml:space="preserve"> tegner </w:t>
      </w:r>
      <w:r w:rsidRPr="000D4513">
        <w:rPr>
          <w:szCs w:val="22"/>
        </w:rPr>
        <w:t>sig</w:t>
      </w:r>
      <w:r w:rsidR="00623A00" w:rsidRPr="000D4513">
        <w:rPr>
          <w:szCs w:val="22"/>
        </w:rPr>
        <w:t xml:space="preserve"> </w:t>
      </w:r>
      <w:r w:rsidR="0042323B" w:rsidRPr="000D4513">
        <w:rPr>
          <w:szCs w:val="22"/>
        </w:rPr>
        <w:t xml:space="preserve">et </w:t>
      </w:r>
      <w:r w:rsidR="00623A00" w:rsidRPr="000D4513">
        <w:rPr>
          <w:szCs w:val="22"/>
        </w:rPr>
        <w:t xml:space="preserve">billede af, at der </w:t>
      </w:r>
      <w:r w:rsidR="00AB7D22" w:rsidRPr="000D4513">
        <w:rPr>
          <w:szCs w:val="22"/>
        </w:rPr>
        <w:t xml:space="preserve">også </w:t>
      </w:r>
      <w:r w:rsidR="0042323B" w:rsidRPr="000D4513">
        <w:rPr>
          <w:szCs w:val="22"/>
        </w:rPr>
        <w:t xml:space="preserve">fremover </w:t>
      </w:r>
      <w:r w:rsidR="00623A00" w:rsidRPr="000D4513">
        <w:rPr>
          <w:szCs w:val="22"/>
        </w:rPr>
        <w:t xml:space="preserve">er brug for en uvildig klageinstans, der kan træde til, når det forebyggende arbejde </w:t>
      </w:r>
      <w:r w:rsidRPr="000D4513">
        <w:rPr>
          <w:szCs w:val="22"/>
        </w:rPr>
        <w:t xml:space="preserve">og de lokale indsatser </w:t>
      </w:r>
      <w:r w:rsidR="00623A00" w:rsidRPr="000D4513">
        <w:rPr>
          <w:szCs w:val="22"/>
        </w:rPr>
        <w:t xml:space="preserve">på </w:t>
      </w:r>
      <w:r w:rsidRPr="000D4513">
        <w:rPr>
          <w:szCs w:val="22"/>
        </w:rPr>
        <w:t>uddannelsesstederne bliver</w:t>
      </w:r>
      <w:r w:rsidR="00623A00" w:rsidRPr="000D4513">
        <w:rPr>
          <w:szCs w:val="22"/>
        </w:rPr>
        <w:t xml:space="preserve"> udfordret</w:t>
      </w:r>
      <w:r w:rsidR="00784B9F">
        <w:rPr>
          <w:szCs w:val="22"/>
        </w:rPr>
        <w:t>, og i øvrigt at ordningen i sig selv har en gunstig betydning for fokus i mobbesager</w:t>
      </w:r>
      <w:r w:rsidR="00623A00" w:rsidRPr="000D4513">
        <w:rPr>
          <w:szCs w:val="22"/>
        </w:rPr>
        <w:t>.</w:t>
      </w:r>
    </w:p>
    <w:p w14:paraId="3DADB150" w14:textId="27BBA9CD" w:rsidR="004A2E11" w:rsidRPr="000D4513" w:rsidRDefault="004A2E11" w:rsidP="005B5925"/>
    <w:p w14:paraId="04EB5628" w14:textId="1349C626" w:rsidR="00623A00" w:rsidRPr="000D4513" w:rsidRDefault="00623A00" w:rsidP="005B5925">
      <w:pPr>
        <w:rPr>
          <w:szCs w:val="22"/>
        </w:rPr>
      </w:pPr>
      <w:r w:rsidRPr="000D4513">
        <w:rPr>
          <w:szCs w:val="22"/>
          <w:u w:val="single"/>
        </w:rPr>
        <w:t>Klage</w:t>
      </w:r>
      <w:r w:rsidR="004A2E11" w:rsidRPr="000D4513">
        <w:rPr>
          <w:szCs w:val="22"/>
          <w:u w:val="single"/>
        </w:rPr>
        <w:t>ordningen</w:t>
      </w:r>
      <w:r w:rsidR="00AC5848" w:rsidRPr="000D4513">
        <w:rPr>
          <w:szCs w:val="22"/>
          <w:u w:val="single"/>
        </w:rPr>
        <w:t>s</w:t>
      </w:r>
      <w:r w:rsidR="00AB7D22" w:rsidRPr="000D4513">
        <w:rPr>
          <w:szCs w:val="22"/>
          <w:u w:val="single"/>
        </w:rPr>
        <w:t xml:space="preserve"> udformning</w:t>
      </w:r>
      <w:r w:rsidR="00AC5848" w:rsidRPr="000D4513">
        <w:rPr>
          <w:szCs w:val="22"/>
          <w:u w:val="single"/>
        </w:rPr>
        <w:t>, virkemåde</w:t>
      </w:r>
      <w:r w:rsidR="00AB7D22" w:rsidRPr="000D4513">
        <w:rPr>
          <w:szCs w:val="22"/>
          <w:u w:val="single"/>
        </w:rPr>
        <w:t xml:space="preserve"> m.v.</w:t>
      </w:r>
    </w:p>
    <w:p w14:paraId="1FA411BE" w14:textId="43F305EB" w:rsidR="00564B12" w:rsidRPr="000D4513" w:rsidRDefault="00AC5848" w:rsidP="005B5925">
      <w:pPr>
        <w:rPr>
          <w:szCs w:val="22"/>
        </w:rPr>
      </w:pPr>
      <w:r w:rsidRPr="000D4513">
        <w:rPr>
          <w:szCs w:val="22"/>
        </w:rPr>
        <w:t>Ministeriet finder, at h</w:t>
      </w:r>
      <w:r w:rsidR="00564B12" w:rsidRPr="000D4513">
        <w:rPr>
          <w:szCs w:val="22"/>
        </w:rPr>
        <w:t xml:space="preserve">øringssvarenes synspunkter og anbefalinger vedrørende klageordningen i meget summarisk form </w:t>
      </w:r>
      <w:r w:rsidRPr="000D4513">
        <w:rPr>
          <w:szCs w:val="22"/>
        </w:rPr>
        <w:t xml:space="preserve">synes </w:t>
      </w:r>
      <w:r w:rsidR="00564B12" w:rsidRPr="000D4513">
        <w:rPr>
          <w:szCs w:val="22"/>
        </w:rPr>
        <w:t>at kunne sammenfattes på følgende måde:</w:t>
      </w:r>
    </w:p>
    <w:p w14:paraId="079CAA98" w14:textId="4ADAA305" w:rsidR="00AC5848" w:rsidRPr="000D4513" w:rsidRDefault="00BF79B0" w:rsidP="00B75D2B">
      <w:pPr>
        <w:pStyle w:val="Opstilling-talellerbogst"/>
      </w:pPr>
      <w:r w:rsidRPr="000D4513">
        <w:t>Større fokus</w:t>
      </w:r>
      <w:r w:rsidR="00AC5848" w:rsidRPr="000D4513">
        <w:t xml:space="preserve"> </w:t>
      </w:r>
      <w:r w:rsidR="00160647" w:rsidRPr="000D4513">
        <w:t xml:space="preserve">på </w:t>
      </w:r>
      <w:r w:rsidR="00AC5848" w:rsidRPr="000D4513">
        <w:t>elev</w:t>
      </w:r>
      <w:r w:rsidRPr="000D4513">
        <w:t xml:space="preserve">ens oplevelse af </w:t>
      </w:r>
      <w:r w:rsidR="00AC5848" w:rsidRPr="000D4513">
        <w:t>mobning</w:t>
      </w:r>
      <w:r w:rsidRPr="000D4513">
        <w:t xml:space="preserve"> som grundlag for aktivering af handlingsplan</w:t>
      </w:r>
      <w:r w:rsidR="00AC5848" w:rsidRPr="000D4513">
        <w:t>.</w:t>
      </w:r>
    </w:p>
    <w:p w14:paraId="67E4327A" w14:textId="77777777" w:rsidR="00417F9F" w:rsidRPr="000D4513" w:rsidRDefault="00FF0A31" w:rsidP="00B75D2B">
      <w:pPr>
        <w:pStyle w:val="Opstilling-talellerbogst"/>
      </w:pPr>
      <w:r w:rsidRPr="000D4513">
        <w:t>En klage over mobning skal direkte aktivere en handlingsplan</w:t>
      </w:r>
      <w:r w:rsidR="00417F9F" w:rsidRPr="000D4513">
        <w:t>.</w:t>
      </w:r>
    </w:p>
    <w:p w14:paraId="7BB76ECD" w14:textId="01990F14" w:rsidR="00BF79B0" w:rsidRPr="000D4513" w:rsidRDefault="00BF79B0" w:rsidP="00B75D2B">
      <w:pPr>
        <w:pStyle w:val="Opstilling-talellerbogst"/>
      </w:pPr>
      <w:r w:rsidRPr="000D4513">
        <w:t xml:space="preserve">Konkrete krav til indholdet af handlingsplaner. </w:t>
      </w:r>
    </w:p>
    <w:p w14:paraId="14986934" w14:textId="18A23CE5" w:rsidR="00564B12" w:rsidRPr="000D4513" w:rsidRDefault="00564B12" w:rsidP="00B75D2B">
      <w:pPr>
        <w:pStyle w:val="Opstilling-talellerbogst"/>
      </w:pPr>
      <w:r w:rsidRPr="000D4513">
        <w:t>Sagsbehandlingstiden skal nedbringes</w:t>
      </w:r>
      <w:r w:rsidR="00160647" w:rsidRPr="000D4513">
        <w:t xml:space="preserve"> (i alle led)</w:t>
      </w:r>
      <w:r w:rsidR="00BF79B0" w:rsidRPr="000D4513">
        <w:t>.</w:t>
      </w:r>
    </w:p>
    <w:p w14:paraId="5ADDF851" w14:textId="5ADE8878" w:rsidR="00564B12" w:rsidRPr="000D4513" w:rsidRDefault="00564B12" w:rsidP="00B75D2B">
      <w:pPr>
        <w:pStyle w:val="Opstilling-talellerbogst"/>
      </w:pPr>
      <w:r w:rsidRPr="000D4513">
        <w:t>Alle klagesager samle</w:t>
      </w:r>
      <w:r w:rsidR="00AC5848" w:rsidRPr="000D4513">
        <w:t>s</w:t>
      </w:r>
      <w:r w:rsidRPr="000D4513">
        <w:t xml:space="preserve"> hos DCUM </w:t>
      </w:r>
      <w:r w:rsidR="00160647" w:rsidRPr="000D4513">
        <w:t>–</w:t>
      </w:r>
      <w:r w:rsidRPr="000D4513">
        <w:t xml:space="preserve"> </w:t>
      </w:r>
      <w:r w:rsidR="00160647" w:rsidRPr="000D4513">
        <w:t xml:space="preserve">lokal </w:t>
      </w:r>
      <w:r w:rsidR="00274100" w:rsidRPr="000D4513">
        <w:t>remonstration</w:t>
      </w:r>
      <w:r w:rsidRPr="000D4513">
        <w:t xml:space="preserve"> </w:t>
      </w:r>
      <w:r w:rsidR="00160647" w:rsidRPr="000D4513">
        <w:t>afskaffes.</w:t>
      </w:r>
      <w:r w:rsidR="005B5925" w:rsidRPr="000D4513">
        <w:t xml:space="preserve"> </w:t>
      </w:r>
    </w:p>
    <w:p w14:paraId="3281F90B" w14:textId="341117F4" w:rsidR="00564B12" w:rsidRPr="000D4513" w:rsidRDefault="00160647" w:rsidP="00B75D2B">
      <w:pPr>
        <w:pStyle w:val="Opstilling-talellerbogst"/>
      </w:pPr>
      <w:r w:rsidRPr="000D4513">
        <w:t>Mulighed for at ud</w:t>
      </w:r>
      <w:r w:rsidR="005B5925" w:rsidRPr="000D4513">
        <w:t xml:space="preserve">delegere </w:t>
      </w:r>
      <w:r w:rsidR="00274100" w:rsidRPr="000D4513">
        <w:t>lokal remonstration</w:t>
      </w:r>
      <w:r w:rsidR="005B5925" w:rsidRPr="000D4513">
        <w:t xml:space="preserve"> til skoleledelsen</w:t>
      </w:r>
      <w:r w:rsidRPr="000D4513">
        <w:t xml:space="preserve"> afskaffes.</w:t>
      </w:r>
    </w:p>
    <w:p w14:paraId="4E2F1809" w14:textId="1FDFF7F1" w:rsidR="00623A00" w:rsidRPr="000D4513" w:rsidRDefault="00564B12" w:rsidP="009D6F64">
      <w:pPr>
        <w:pStyle w:val="Opstilling-talellerbogst"/>
        <w:ind w:left="453" w:hanging="113"/>
      </w:pPr>
      <w:r w:rsidRPr="000D4513">
        <w:t>U</w:t>
      </w:r>
      <w:r w:rsidR="00623A00" w:rsidRPr="000D4513">
        <w:t xml:space="preserve">ddannelsesstedet </w:t>
      </w:r>
      <w:r w:rsidRPr="000D4513">
        <w:t xml:space="preserve">skal </w:t>
      </w:r>
      <w:r w:rsidR="00623A00" w:rsidRPr="000D4513">
        <w:t xml:space="preserve">orientere </w:t>
      </w:r>
      <w:r w:rsidRPr="000D4513">
        <w:t>DCUM</w:t>
      </w:r>
      <w:r w:rsidR="00623A00" w:rsidRPr="000D4513">
        <w:t xml:space="preserve"> o</w:t>
      </w:r>
      <w:r w:rsidR="00160647" w:rsidRPr="000D4513">
        <w:t>m klagemodtagelse og afgørelse.</w:t>
      </w:r>
    </w:p>
    <w:p w14:paraId="245D4B11" w14:textId="167EFFF3" w:rsidR="00623A00" w:rsidRPr="000D4513" w:rsidRDefault="00160647" w:rsidP="009D6F64">
      <w:pPr>
        <w:pStyle w:val="Opstilling-talellerbogst"/>
        <w:ind w:left="453" w:hanging="113"/>
      </w:pPr>
      <w:r w:rsidRPr="000D4513">
        <w:t>Der skal kunne k</w:t>
      </w:r>
      <w:r w:rsidR="00623A00" w:rsidRPr="000D4513">
        <w:t>lage</w:t>
      </w:r>
      <w:r w:rsidRPr="000D4513">
        <w:t>s</w:t>
      </w:r>
      <w:r w:rsidR="00623A00" w:rsidRPr="000D4513">
        <w:t xml:space="preserve">, </w:t>
      </w:r>
      <w:r w:rsidRPr="000D4513">
        <w:t>selv om</w:t>
      </w:r>
      <w:r w:rsidR="00623A00" w:rsidRPr="000D4513">
        <w:t xml:space="preserve"> eleven </w:t>
      </w:r>
      <w:r w:rsidRPr="000D4513">
        <w:t>ikke længere</w:t>
      </w:r>
      <w:r w:rsidR="00623A00" w:rsidRPr="000D4513">
        <w:t xml:space="preserve"> går på uddannelsesstedet. </w:t>
      </w:r>
    </w:p>
    <w:p w14:paraId="18BF1AC7" w14:textId="762F8560" w:rsidR="00623A00" w:rsidRPr="000D4513" w:rsidRDefault="009D6F64" w:rsidP="009D6F64">
      <w:pPr>
        <w:pStyle w:val="Opstilling-talellerbogst"/>
        <w:ind w:left="453" w:hanging="113"/>
      </w:pPr>
      <w:r w:rsidRPr="000D4513">
        <w:t>Dokumentationskrav</w:t>
      </w:r>
      <w:r w:rsidR="00623A00" w:rsidRPr="000D4513">
        <w:t>.</w:t>
      </w:r>
    </w:p>
    <w:p w14:paraId="7A71936C" w14:textId="23D9E169" w:rsidR="004A2E11" w:rsidRPr="000D4513" w:rsidRDefault="00BF79B0" w:rsidP="009D6F64">
      <w:pPr>
        <w:pStyle w:val="Opstilling-talellerbogst"/>
        <w:ind w:left="453" w:hanging="113"/>
      </w:pPr>
      <w:r w:rsidRPr="000D4513">
        <w:t>Større fokus på</w:t>
      </w:r>
      <w:r w:rsidR="00080560" w:rsidRPr="000D4513">
        <w:t>/anvendelse af</w:t>
      </w:r>
      <w:r w:rsidRPr="000D4513">
        <w:t xml:space="preserve"> sanktioner over for u</w:t>
      </w:r>
      <w:r w:rsidR="004A2E11" w:rsidRPr="000D4513">
        <w:t>ddannelsesstedet</w:t>
      </w:r>
      <w:r w:rsidRPr="000D4513">
        <w:t>.</w:t>
      </w:r>
      <w:r w:rsidR="004A2E11" w:rsidRPr="000D4513">
        <w:t xml:space="preserve"> </w:t>
      </w:r>
    </w:p>
    <w:p w14:paraId="72318773" w14:textId="0E732D75" w:rsidR="004A2E11" w:rsidRPr="000D4513" w:rsidRDefault="00BF79B0" w:rsidP="00B75D2B">
      <w:pPr>
        <w:pStyle w:val="Opstilling-talellerbogst"/>
      </w:pPr>
      <w:r w:rsidRPr="000D4513">
        <w:t>O</w:t>
      </w:r>
      <w:r w:rsidR="004A2E11" w:rsidRPr="000D4513">
        <w:t>ffentliggøre</w:t>
      </w:r>
      <w:r w:rsidRPr="000D4513">
        <w:t>lse af</w:t>
      </w:r>
      <w:r w:rsidR="004A2E11" w:rsidRPr="000D4513">
        <w:t xml:space="preserve"> afgørelser om overtrædelse</w:t>
      </w:r>
      <w:r w:rsidRPr="000D4513">
        <w:t>r</w:t>
      </w:r>
      <w:r w:rsidR="004A2E11" w:rsidRPr="000D4513">
        <w:t xml:space="preserve"> af loven.</w:t>
      </w:r>
    </w:p>
    <w:p w14:paraId="73A39055" w14:textId="77777777" w:rsidR="00080560" w:rsidRPr="000D4513" w:rsidRDefault="00080560" w:rsidP="00080560">
      <w:pPr>
        <w:pStyle w:val="Opstilling-talellerbogst"/>
        <w:numPr>
          <w:ilvl w:val="0"/>
          <w:numId w:val="0"/>
        </w:numPr>
      </w:pPr>
    </w:p>
    <w:p w14:paraId="67973D66" w14:textId="18263A3D" w:rsidR="00166EAA" w:rsidRPr="000D4513" w:rsidRDefault="00166EAA" w:rsidP="00166EAA">
      <w:pPr>
        <w:pStyle w:val="Brdtekst"/>
        <w:rPr>
          <w:i/>
          <w:u w:val="single"/>
        </w:rPr>
      </w:pPr>
      <w:r w:rsidRPr="000D4513">
        <w:rPr>
          <w:i/>
          <w:u w:val="single"/>
        </w:rPr>
        <w:t>Ad pkt. 1</w:t>
      </w:r>
      <w:r w:rsidR="00FF0A31" w:rsidRPr="000D4513">
        <w:rPr>
          <w:i/>
          <w:u w:val="single"/>
        </w:rPr>
        <w:t xml:space="preserve"> og 2</w:t>
      </w:r>
    </w:p>
    <w:p w14:paraId="3E276F50" w14:textId="5A6AC069" w:rsidR="00FF0A31" w:rsidRPr="000D4513" w:rsidRDefault="00FF0A31" w:rsidP="004A2E11">
      <w:pPr>
        <w:rPr>
          <w:szCs w:val="22"/>
        </w:rPr>
      </w:pPr>
      <w:r w:rsidRPr="000D4513">
        <w:rPr>
          <w:szCs w:val="22"/>
        </w:rPr>
        <w:t>De</w:t>
      </w:r>
      <w:r w:rsidR="00166EAA" w:rsidRPr="000D4513">
        <w:rPr>
          <w:szCs w:val="22"/>
        </w:rPr>
        <w:t xml:space="preserve"> rejste problemstilling</w:t>
      </w:r>
      <w:r w:rsidRPr="000D4513">
        <w:rPr>
          <w:szCs w:val="22"/>
        </w:rPr>
        <w:t>er er</w:t>
      </w:r>
      <w:r w:rsidR="00166EAA" w:rsidRPr="000D4513">
        <w:rPr>
          <w:szCs w:val="22"/>
        </w:rPr>
        <w:t xml:space="preserve"> </w:t>
      </w:r>
      <w:r w:rsidRPr="000D4513">
        <w:rPr>
          <w:szCs w:val="22"/>
        </w:rPr>
        <w:t>reelt to sider af samme sag og er i øvrigt</w:t>
      </w:r>
      <w:r w:rsidR="00166EAA" w:rsidRPr="000D4513">
        <w:rPr>
          <w:szCs w:val="22"/>
        </w:rPr>
        <w:t xml:space="preserve"> delvist knyttet til det mere grundlæggende om reglerne </w:t>
      </w:r>
      <w:r w:rsidR="00C9309D">
        <w:rPr>
          <w:szCs w:val="22"/>
        </w:rPr>
        <w:t>om</w:t>
      </w:r>
      <w:r w:rsidR="00BA7A45">
        <w:rPr>
          <w:szCs w:val="22"/>
        </w:rPr>
        <w:t xml:space="preserve"> </w:t>
      </w:r>
      <w:r w:rsidR="00166EAA" w:rsidRPr="000D4513">
        <w:rPr>
          <w:szCs w:val="22"/>
        </w:rPr>
        <w:t>afgrænsning af begrebet mobning</w:t>
      </w:r>
      <w:r w:rsidR="00A170CD" w:rsidRPr="000D4513">
        <w:rPr>
          <w:szCs w:val="22"/>
        </w:rPr>
        <w:t xml:space="preserve"> eller lignende. </w:t>
      </w:r>
    </w:p>
    <w:p w14:paraId="6C907646" w14:textId="77777777" w:rsidR="00FF0A31" w:rsidRPr="000D4513" w:rsidRDefault="00FF0A31" w:rsidP="004A2E11">
      <w:pPr>
        <w:rPr>
          <w:szCs w:val="22"/>
        </w:rPr>
      </w:pPr>
    </w:p>
    <w:p w14:paraId="66EF2AEF" w14:textId="3F1E22BA" w:rsidR="00A170CD" w:rsidRPr="000D4513" w:rsidRDefault="00FF0A31" w:rsidP="004A2E11">
      <w:pPr>
        <w:rPr>
          <w:szCs w:val="22"/>
        </w:rPr>
      </w:pPr>
      <w:r w:rsidRPr="000D4513">
        <w:rPr>
          <w:szCs w:val="22"/>
        </w:rPr>
        <w:t xml:space="preserve">Primært er problemstillingerne </w:t>
      </w:r>
      <w:r w:rsidR="00A170CD" w:rsidRPr="000D4513">
        <w:rPr>
          <w:szCs w:val="22"/>
        </w:rPr>
        <w:t xml:space="preserve">dog knyttet til, at lovens handlepligter </w:t>
      </w:r>
      <w:r w:rsidRPr="000D4513">
        <w:rPr>
          <w:szCs w:val="22"/>
        </w:rPr>
        <w:t xml:space="preserve">(først) </w:t>
      </w:r>
      <w:r w:rsidR="00A170CD" w:rsidRPr="000D4513">
        <w:rPr>
          <w:szCs w:val="22"/>
        </w:rPr>
        <w:t xml:space="preserve">udløses, når uddannelsesstedets ledelse </w:t>
      </w:r>
      <w:r w:rsidR="00A170CD" w:rsidRPr="000D4513">
        <w:rPr>
          <w:i/>
          <w:szCs w:val="22"/>
        </w:rPr>
        <w:t>konstaterer</w:t>
      </w:r>
      <w:r w:rsidR="00A170CD" w:rsidRPr="000D4513">
        <w:rPr>
          <w:szCs w:val="22"/>
        </w:rPr>
        <w:t xml:space="preserve"> problemer med det psykiske undervisningsmiljø i form af mobning</w:t>
      </w:r>
      <w:r w:rsidR="00080560" w:rsidRPr="000D4513">
        <w:rPr>
          <w:szCs w:val="22"/>
        </w:rPr>
        <w:t>, jf. lovens § 1 c, stk. 1</w:t>
      </w:r>
      <w:r w:rsidR="00560DA5" w:rsidRPr="000D4513">
        <w:rPr>
          <w:szCs w:val="22"/>
        </w:rPr>
        <w:t>, 1. pkt.</w:t>
      </w:r>
    </w:p>
    <w:p w14:paraId="7B6360A6" w14:textId="77777777" w:rsidR="00A170CD" w:rsidRPr="000D4513" w:rsidRDefault="00A170CD" w:rsidP="004A2E11">
      <w:pPr>
        <w:rPr>
          <w:szCs w:val="22"/>
        </w:rPr>
      </w:pPr>
    </w:p>
    <w:p w14:paraId="31D02D70" w14:textId="035A30BD" w:rsidR="00EC69E7" w:rsidRPr="000D4513" w:rsidRDefault="00080560" w:rsidP="004A2E11">
      <w:pPr>
        <w:rPr>
          <w:szCs w:val="22"/>
        </w:rPr>
      </w:pPr>
      <w:r w:rsidRPr="000D4513">
        <w:rPr>
          <w:szCs w:val="22"/>
        </w:rPr>
        <w:t xml:space="preserve">Efter </w:t>
      </w:r>
      <w:r w:rsidR="00D06F13" w:rsidRPr="000D4513">
        <w:rPr>
          <w:szCs w:val="22"/>
        </w:rPr>
        <w:t>bestemmelsen</w:t>
      </w:r>
      <w:r w:rsidRPr="000D4513">
        <w:rPr>
          <w:szCs w:val="22"/>
        </w:rPr>
        <w:t xml:space="preserve"> </w:t>
      </w:r>
      <w:r w:rsidR="00EC69E7" w:rsidRPr="000D4513">
        <w:rPr>
          <w:szCs w:val="22"/>
        </w:rPr>
        <w:t>er</w:t>
      </w:r>
      <w:r w:rsidRPr="000D4513">
        <w:rPr>
          <w:szCs w:val="22"/>
        </w:rPr>
        <w:t xml:space="preserve"> det</w:t>
      </w:r>
      <w:r w:rsidR="00EC69E7" w:rsidRPr="000D4513">
        <w:rPr>
          <w:szCs w:val="22"/>
        </w:rPr>
        <w:t xml:space="preserve"> således ikke elevens egen subjektive opfattelse af en situation eller et forløb</w:t>
      </w:r>
      <w:r w:rsidRPr="000D4513">
        <w:rPr>
          <w:szCs w:val="22"/>
        </w:rPr>
        <w:t>,</w:t>
      </w:r>
      <w:r w:rsidR="00EC69E7" w:rsidRPr="000D4513">
        <w:rPr>
          <w:szCs w:val="22"/>
        </w:rPr>
        <w:t xml:space="preserve"> som er afgørende for, om der udarbejdes en handlingsplan, iværksættes initiativer m.v., men </w:t>
      </w:r>
      <w:r w:rsidR="00D3114E" w:rsidRPr="000D4513">
        <w:rPr>
          <w:szCs w:val="22"/>
        </w:rPr>
        <w:t>– ud fra</w:t>
      </w:r>
      <w:r w:rsidR="00D06F13" w:rsidRPr="000D4513">
        <w:rPr>
          <w:szCs w:val="22"/>
        </w:rPr>
        <w:t xml:space="preserve"> ordlyden </w:t>
      </w:r>
      <w:r w:rsidR="00D3114E" w:rsidRPr="000D4513">
        <w:rPr>
          <w:szCs w:val="22"/>
        </w:rPr>
        <w:t xml:space="preserve">– </w:t>
      </w:r>
      <w:r w:rsidR="00EC69E7" w:rsidRPr="000D4513">
        <w:rPr>
          <w:szCs w:val="22"/>
        </w:rPr>
        <w:t>led</w:t>
      </w:r>
      <w:r w:rsidR="00D3114E" w:rsidRPr="000D4513">
        <w:rPr>
          <w:szCs w:val="22"/>
        </w:rPr>
        <w:t>elsens vurdering af forholdene.</w:t>
      </w:r>
    </w:p>
    <w:p w14:paraId="2B2631BB" w14:textId="77777777" w:rsidR="00EC69E7" w:rsidRPr="000D4513" w:rsidRDefault="00EC69E7" w:rsidP="004A2E11">
      <w:pPr>
        <w:rPr>
          <w:szCs w:val="22"/>
        </w:rPr>
      </w:pPr>
    </w:p>
    <w:p w14:paraId="54E0F08E" w14:textId="27077380" w:rsidR="00D06F13" w:rsidRPr="000D4513" w:rsidRDefault="00D3114E" w:rsidP="00E241C6">
      <w:pPr>
        <w:rPr>
          <w:szCs w:val="22"/>
        </w:rPr>
      </w:pPr>
      <w:r w:rsidRPr="000D4513">
        <w:rPr>
          <w:szCs w:val="22"/>
        </w:rPr>
        <w:lastRenderedPageBreak/>
        <w:t>Der findes ikke i lovforslaget bag ændringsloven bemærkninger, som specifikt</w:t>
      </w:r>
      <w:r w:rsidR="00080560" w:rsidRPr="000D4513">
        <w:rPr>
          <w:szCs w:val="22"/>
        </w:rPr>
        <w:t xml:space="preserve"> belyser baggrunden for den valgte </w:t>
      </w:r>
      <w:r w:rsidR="00FF0A31" w:rsidRPr="000D4513">
        <w:rPr>
          <w:szCs w:val="22"/>
        </w:rPr>
        <w:t>ledelses</w:t>
      </w:r>
      <w:r w:rsidR="00080560" w:rsidRPr="000D4513">
        <w:rPr>
          <w:szCs w:val="22"/>
        </w:rPr>
        <w:t xml:space="preserve">synsvinkel for </w:t>
      </w:r>
      <w:r w:rsidR="00FF0A31" w:rsidRPr="000D4513">
        <w:rPr>
          <w:szCs w:val="22"/>
        </w:rPr>
        <w:t>handlepli</w:t>
      </w:r>
      <w:r w:rsidR="00751786" w:rsidRPr="000D4513">
        <w:rPr>
          <w:szCs w:val="22"/>
        </w:rPr>
        <w:t>gte</w:t>
      </w:r>
      <w:r w:rsidR="00FF0A31" w:rsidRPr="000D4513">
        <w:rPr>
          <w:szCs w:val="22"/>
        </w:rPr>
        <w:t>rnes</w:t>
      </w:r>
      <w:r w:rsidR="00080560" w:rsidRPr="000D4513">
        <w:rPr>
          <w:szCs w:val="22"/>
        </w:rPr>
        <w:t xml:space="preserve"> anvendelse. </w:t>
      </w:r>
      <w:r w:rsidR="00D06F13" w:rsidRPr="000D4513">
        <w:rPr>
          <w:szCs w:val="22"/>
        </w:rPr>
        <w:t>Det fremgår dog, at bestemmelsen</w:t>
      </w:r>
      <w:r w:rsidRPr="000D4513">
        <w:rPr>
          <w:szCs w:val="22"/>
        </w:rPr>
        <w:t>s krav til handling på kort og langt sigt</w:t>
      </w:r>
      <w:r w:rsidR="00D06F13" w:rsidRPr="000D4513">
        <w:rPr>
          <w:szCs w:val="22"/>
        </w:rPr>
        <w:t xml:space="preserve"> har sigte på at sikre en reaktion fra uddannelsesstedets ledelses side i tilfælde, hvor elever oplever problemer med det psykiske undervisningsmiljø i form af mobning eller lignende.</w:t>
      </w:r>
    </w:p>
    <w:p w14:paraId="397DE6FC" w14:textId="5E60E4E6" w:rsidR="00080560" w:rsidRPr="000D4513" w:rsidRDefault="00080560" w:rsidP="004A2E11">
      <w:pPr>
        <w:rPr>
          <w:szCs w:val="22"/>
        </w:rPr>
      </w:pPr>
    </w:p>
    <w:p w14:paraId="23012F21" w14:textId="40FF97E7" w:rsidR="00A30AC0" w:rsidRPr="000D4513" w:rsidRDefault="00D3114E" w:rsidP="004A2E11">
      <w:pPr>
        <w:rPr>
          <w:szCs w:val="22"/>
        </w:rPr>
      </w:pPr>
      <w:r w:rsidRPr="000D4513">
        <w:rPr>
          <w:szCs w:val="22"/>
        </w:rPr>
        <w:t xml:space="preserve">Det kan muligvis også antages, at den valgte terminologi ("ledelseskonstatering") kan have haft sammenhæng med, at et tilsvarende ordvalg allerede fandtes i undervisningsmiljølovens § 7, stk. 1, nr. 3, om indholdet af en handlingsplan som led i en undervisningsmiljøvurdering. </w:t>
      </w:r>
      <w:r w:rsidR="00E241C6" w:rsidRPr="000D4513">
        <w:rPr>
          <w:szCs w:val="22"/>
        </w:rPr>
        <w:t>Hvor terminologien ("</w:t>
      </w:r>
      <w:r w:rsidR="00751786" w:rsidRPr="000D4513">
        <w:rPr>
          <w:szCs w:val="22"/>
        </w:rPr>
        <w:t>konstaterer ledelsen</w:t>
      </w:r>
      <w:r w:rsidR="00E241C6" w:rsidRPr="000D4513">
        <w:rPr>
          <w:szCs w:val="22"/>
        </w:rPr>
        <w:t xml:space="preserve">") </w:t>
      </w:r>
      <w:r w:rsidR="00A30AC0" w:rsidRPr="000D4513">
        <w:rPr>
          <w:szCs w:val="22"/>
        </w:rPr>
        <w:t>umiddelbart virker relevant i relation til de for uddannelsesstedet langt bredere</w:t>
      </w:r>
      <w:r w:rsidR="00E241C6" w:rsidRPr="000D4513">
        <w:rPr>
          <w:szCs w:val="22"/>
        </w:rPr>
        <w:t xml:space="preserve"> </w:t>
      </w:r>
      <w:r w:rsidR="00A30AC0" w:rsidRPr="000D4513">
        <w:rPr>
          <w:szCs w:val="22"/>
        </w:rPr>
        <w:t xml:space="preserve">og mere altomfattende handlingsplaner som led i </w:t>
      </w:r>
      <w:r w:rsidR="00E241C6" w:rsidRPr="000D4513">
        <w:rPr>
          <w:szCs w:val="22"/>
        </w:rPr>
        <w:t>en undervisningsmiljøvurdering</w:t>
      </w:r>
      <w:r w:rsidR="00A30AC0" w:rsidRPr="000D4513">
        <w:rPr>
          <w:szCs w:val="22"/>
        </w:rPr>
        <w:t xml:space="preserve">, synes synsvinklen </w:t>
      </w:r>
      <w:r w:rsidR="00784B9F">
        <w:rPr>
          <w:szCs w:val="22"/>
        </w:rPr>
        <w:t xml:space="preserve">måske </w:t>
      </w:r>
      <w:r w:rsidR="00A30AC0" w:rsidRPr="000D4513">
        <w:rPr>
          <w:szCs w:val="22"/>
        </w:rPr>
        <w:t xml:space="preserve">mindre logisk, når det kommer til mere afgrænsede mobbesager, som jo altid grundlæggende har udspring i et enkeltindivids oplevelser og synsvinkel. </w:t>
      </w:r>
    </w:p>
    <w:p w14:paraId="56606614" w14:textId="422C9AEE" w:rsidR="00A30AC0" w:rsidRPr="000D4513" w:rsidRDefault="00A30AC0" w:rsidP="004A2E11">
      <w:pPr>
        <w:rPr>
          <w:szCs w:val="22"/>
        </w:rPr>
      </w:pPr>
    </w:p>
    <w:p w14:paraId="44406AE9" w14:textId="6CD5BBA7" w:rsidR="007C7C78" w:rsidRPr="000D4513" w:rsidRDefault="00D3114E" w:rsidP="004A2E11">
      <w:pPr>
        <w:rPr>
          <w:szCs w:val="22"/>
        </w:rPr>
      </w:pPr>
      <w:r w:rsidRPr="000D4513">
        <w:rPr>
          <w:szCs w:val="22"/>
        </w:rPr>
        <w:t xml:space="preserve">Terminologivalget </w:t>
      </w:r>
      <w:r w:rsidR="008B44EE" w:rsidRPr="000D4513">
        <w:rPr>
          <w:szCs w:val="22"/>
        </w:rPr>
        <w:t xml:space="preserve">("konstaterer ledelsen") </w:t>
      </w:r>
      <w:r w:rsidRPr="000D4513">
        <w:rPr>
          <w:szCs w:val="22"/>
        </w:rPr>
        <w:t>bliver imidlertid</w:t>
      </w:r>
      <w:r w:rsidR="00560DA5" w:rsidRPr="000D4513">
        <w:rPr>
          <w:szCs w:val="22"/>
        </w:rPr>
        <w:t xml:space="preserve"> ydermere uklart, </w:t>
      </w:r>
      <w:r w:rsidR="008B44EE" w:rsidRPr="000D4513">
        <w:rPr>
          <w:szCs w:val="22"/>
        </w:rPr>
        <w:t xml:space="preserve">dvs. om </w:t>
      </w:r>
      <w:r w:rsidR="00560DA5" w:rsidRPr="000D4513">
        <w:rPr>
          <w:szCs w:val="22"/>
        </w:rPr>
        <w:t xml:space="preserve">terminologien reelt var tænkt som udtryk for, at afgørelsen skulle </w:t>
      </w:r>
      <w:r w:rsidR="00751786" w:rsidRPr="000D4513">
        <w:rPr>
          <w:szCs w:val="22"/>
        </w:rPr>
        <w:t>bero på</w:t>
      </w:r>
      <w:r w:rsidR="00560DA5" w:rsidRPr="000D4513">
        <w:rPr>
          <w:szCs w:val="22"/>
        </w:rPr>
        <w:t xml:space="preserve"> en ledelsesvurdering</w:t>
      </w:r>
      <w:r w:rsidR="008B44EE" w:rsidRPr="000D4513">
        <w:rPr>
          <w:szCs w:val="22"/>
        </w:rPr>
        <w:t>, i lyset af</w:t>
      </w:r>
      <w:r w:rsidR="00560DA5" w:rsidRPr="000D4513">
        <w:rPr>
          <w:szCs w:val="22"/>
        </w:rPr>
        <w:t xml:space="preserve"> lovens § 1 c, stk. 1, 2. pkt., </w:t>
      </w:r>
      <w:r w:rsidR="008B44EE" w:rsidRPr="000D4513">
        <w:rPr>
          <w:szCs w:val="22"/>
        </w:rPr>
        <w:t>hvorefter</w:t>
      </w:r>
      <w:r w:rsidR="00560DA5" w:rsidRPr="000D4513">
        <w:rPr>
          <w:szCs w:val="22"/>
        </w:rPr>
        <w:t xml:space="preserve"> kravet om at udarbejde en handlingsplan gælder tilsvarende, hvis uddannelsesstedets ledelse </w:t>
      </w:r>
      <w:r w:rsidR="00560DA5" w:rsidRPr="000D4513">
        <w:rPr>
          <w:i/>
          <w:szCs w:val="22"/>
        </w:rPr>
        <w:t xml:space="preserve">eller en elevs forældremyndighedsindehavere anser det for nødvendigt </w:t>
      </w:r>
      <w:r w:rsidR="00560DA5" w:rsidRPr="000D4513">
        <w:rPr>
          <w:szCs w:val="22"/>
        </w:rPr>
        <w:t xml:space="preserve">som følge af elevens bekymrende tilstand eller adfærd, herunder sygdom og fravær, på grund af problemer med det psykiske undervisningsmiljø i form af mobning eller lignende. Som det fremgår, </w:t>
      </w:r>
      <w:r w:rsidR="00417F9F" w:rsidRPr="000D4513">
        <w:rPr>
          <w:szCs w:val="22"/>
        </w:rPr>
        <w:t>kan</w:t>
      </w:r>
      <w:r w:rsidR="00560DA5" w:rsidRPr="000D4513">
        <w:rPr>
          <w:szCs w:val="22"/>
        </w:rPr>
        <w:t xml:space="preserve"> forældrenes rent subjektive vurdering </w:t>
      </w:r>
      <w:r w:rsidR="00417F9F" w:rsidRPr="000D4513">
        <w:rPr>
          <w:szCs w:val="22"/>
        </w:rPr>
        <w:t xml:space="preserve">af situationen </w:t>
      </w:r>
      <w:r w:rsidR="00560DA5" w:rsidRPr="000D4513">
        <w:rPr>
          <w:szCs w:val="22"/>
        </w:rPr>
        <w:t xml:space="preserve">i disse tilfælde efter ordlyden udløse handlepligten. Bemærkningerne til lovforslaget bag ændringsloven indeholder ikke bemærkninger om baggrunden for dette </w:t>
      </w:r>
      <w:r w:rsidR="00784B9F">
        <w:rPr>
          <w:szCs w:val="22"/>
        </w:rPr>
        <w:t xml:space="preserve">skift i </w:t>
      </w:r>
      <w:r w:rsidR="00560DA5" w:rsidRPr="000D4513">
        <w:rPr>
          <w:szCs w:val="22"/>
        </w:rPr>
        <w:t xml:space="preserve">terminologi, eller om hvad der nærmere ligger heri. </w:t>
      </w:r>
    </w:p>
    <w:p w14:paraId="7368970A" w14:textId="77777777" w:rsidR="007C7C78" w:rsidRPr="000D4513" w:rsidRDefault="007C7C78" w:rsidP="004A2E11">
      <w:pPr>
        <w:rPr>
          <w:szCs w:val="22"/>
        </w:rPr>
      </w:pPr>
    </w:p>
    <w:p w14:paraId="5A5EFFD0" w14:textId="46BAD858" w:rsidR="00166EAA" w:rsidRPr="000D4513" w:rsidRDefault="007C7C78" w:rsidP="004A2E11">
      <w:pPr>
        <w:rPr>
          <w:szCs w:val="22"/>
        </w:rPr>
      </w:pPr>
      <w:r w:rsidRPr="000D4513">
        <w:rPr>
          <w:szCs w:val="22"/>
        </w:rPr>
        <w:t>Ministeriet finder</w:t>
      </w:r>
      <w:r w:rsidR="00560DA5" w:rsidRPr="000D4513">
        <w:rPr>
          <w:szCs w:val="22"/>
        </w:rPr>
        <w:t xml:space="preserve"> </w:t>
      </w:r>
      <w:r w:rsidRPr="000D4513">
        <w:rPr>
          <w:szCs w:val="22"/>
        </w:rPr>
        <w:t xml:space="preserve">på den </w:t>
      </w:r>
      <w:r w:rsidR="00560DA5" w:rsidRPr="000D4513">
        <w:rPr>
          <w:szCs w:val="22"/>
        </w:rPr>
        <w:t xml:space="preserve">anførte </w:t>
      </w:r>
      <w:r w:rsidRPr="000D4513">
        <w:rPr>
          <w:szCs w:val="22"/>
        </w:rPr>
        <w:t xml:space="preserve">baggrund, at </w:t>
      </w:r>
      <w:r w:rsidR="00560DA5" w:rsidRPr="000D4513">
        <w:rPr>
          <w:szCs w:val="22"/>
        </w:rPr>
        <w:t>spørgsmålet om</w:t>
      </w:r>
      <w:r w:rsidR="00A30AC0" w:rsidRPr="000D4513">
        <w:rPr>
          <w:szCs w:val="22"/>
        </w:rPr>
        <w:t xml:space="preserve"> betoning</w:t>
      </w:r>
      <w:r w:rsidR="00560DA5" w:rsidRPr="000D4513">
        <w:rPr>
          <w:szCs w:val="22"/>
        </w:rPr>
        <w:t xml:space="preserve"> i selve antimobbebestemmelserne</w:t>
      </w:r>
      <w:r w:rsidR="00A170CD" w:rsidRPr="000D4513">
        <w:rPr>
          <w:szCs w:val="22"/>
        </w:rPr>
        <w:t xml:space="preserve"> af </w:t>
      </w:r>
      <w:r w:rsidR="00417F9F" w:rsidRPr="000D4513">
        <w:rPr>
          <w:szCs w:val="22"/>
        </w:rPr>
        <w:t>en potentielt mobbet elevs</w:t>
      </w:r>
      <w:r w:rsidR="00A170CD" w:rsidRPr="000D4513">
        <w:rPr>
          <w:szCs w:val="22"/>
        </w:rPr>
        <w:t xml:space="preserve"> perspektiv</w:t>
      </w:r>
      <w:r w:rsidR="00560DA5" w:rsidRPr="000D4513">
        <w:rPr>
          <w:szCs w:val="22"/>
        </w:rPr>
        <w:t xml:space="preserve"> og </w:t>
      </w:r>
      <w:r w:rsidRPr="000D4513">
        <w:rPr>
          <w:szCs w:val="22"/>
        </w:rPr>
        <w:t>egen oplevelse af situationen</w:t>
      </w:r>
      <w:r w:rsidR="00560DA5" w:rsidRPr="000D4513">
        <w:rPr>
          <w:szCs w:val="22"/>
        </w:rPr>
        <w:t xml:space="preserve"> bør indgå i videre overvejelser</w:t>
      </w:r>
      <w:r w:rsidR="00417F9F" w:rsidRPr="000D4513">
        <w:rPr>
          <w:szCs w:val="22"/>
        </w:rPr>
        <w:t xml:space="preserve"> om selve begrebet mobning eller lignende, jf. herved bemærkningerne i afsnit </w:t>
      </w:r>
      <w:r w:rsidR="00417F9F" w:rsidRPr="000D4513">
        <w:rPr>
          <w:szCs w:val="22"/>
        </w:rPr>
        <w:fldChar w:fldCharType="begin"/>
      </w:r>
      <w:r w:rsidR="00417F9F" w:rsidRPr="000D4513">
        <w:rPr>
          <w:szCs w:val="22"/>
        </w:rPr>
        <w:instrText xml:space="preserve"> REF _Ref53304947 \r \h </w:instrText>
      </w:r>
      <w:r w:rsidR="000D4513">
        <w:rPr>
          <w:szCs w:val="22"/>
        </w:rPr>
        <w:instrText xml:space="preserve"> \* MERGEFORMAT </w:instrText>
      </w:r>
      <w:r w:rsidR="00417F9F" w:rsidRPr="000D4513">
        <w:rPr>
          <w:szCs w:val="22"/>
        </w:rPr>
      </w:r>
      <w:r w:rsidR="00417F9F" w:rsidRPr="000D4513">
        <w:rPr>
          <w:szCs w:val="22"/>
        </w:rPr>
        <w:fldChar w:fldCharType="separate"/>
      </w:r>
      <w:r w:rsidR="00D75B58" w:rsidRPr="000D4513">
        <w:rPr>
          <w:szCs w:val="22"/>
        </w:rPr>
        <w:t>7.3</w:t>
      </w:r>
      <w:r w:rsidR="00417F9F" w:rsidRPr="000D4513">
        <w:rPr>
          <w:szCs w:val="22"/>
        </w:rPr>
        <w:fldChar w:fldCharType="end"/>
      </w:r>
      <w:r w:rsidRPr="000D4513">
        <w:rPr>
          <w:szCs w:val="22"/>
        </w:rPr>
        <w:t>.</w:t>
      </w:r>
    </w:p>
    <w:p w14:paraId="2F07692E" w14:textId="77777777" w:rsidR="00A30AC0" w:rsidRPr="000D4513" w:rsidRDefault="00A30AC0" w:rsidP="004A2E11">
      <w:pPr>
        <w:rPr>
          <w:szCs w:val="22"/>
        </w:rPr>
      </w:pPr>
    </w:p>
    <w:p w14:paraId="2D4998E8" w14:textId="45362B7C" w:rsidR="00B75D2B" w:rsidRPr="000D4513" w:rsidRDefault="00B75D2B" w:rsidP="00B75D2B">
      <w:pPr>
        <w:pStyle w:val="Brdtekst"/>
        <w:rPr>
          <w:i/>
          <w:u w:val="single"/>
        </w:rPr>
      </w:pPr>
      <w:r w:rsidRPr="000D4513">
        <w:rPr>
          <w:i/>
          <w:u w:val="single"/>
        </w:rPr>
        <w:t xml:space="preserve">Ad pkt. </w:t>
      </w:r>
      <w:r w:rsidR="00417F9F" w:rsidRPr="000D4513">
        <w:rPr>
          <w:i/>
          <w:u w:val="single"/>
        </w:rPr>
        <w:t>3</w:t>
      </w:r>
    </w:p>
    <w:p w14:paraId="05CA4057" w14:textId="596A7AB1" w:rsidR="00E9606A" w:rsidRPr="000D4513" w:rsidRDefault="00B75D2B" w:rsidP="00B75D2B">
      <w:pPr>
        <w:pStyle w:val="Brdtekst"/>
        <w:rPr>
          <w:rFonts w:cstheme="minorBidi"/>
        </w:rPr>
      </w:pPr>
      <w:r w:rsidRPr="000D4513">
        <w:t xml:space="preserve">Med hensyn til anbefalingerne om, at det af loven kommer til at fremgå, at </w:t>
      </w:r>
      <w:r w:rsidR="00EC69E7" w:rsidRPr="000D4513">
        <w:t>handlingsplanen</w:t>
      </w:r>
      <w:r w:rsidRPr="000D4513">
        <w:t xml:space="preserve"> skal indeholde et vist minimum af elementer</w:t>
      </w:r>
      <w:r w:rsidRPr="000D4513">
        <w:rPr>
          <w:rFonts w:cstheme="minorBidi"/>
        </w:rPr>
        <w:t xml:space="preserve">, bemærker ministeriet, at bemærkningerne til lovforslaget bag </w:t>
      </w:r>
      <w:r w:rsidR="00E9606A" w:rsidRPr="000D4513">
        <w:rPr>
          <w:rFonts w:cstheme="minorBidi"/>
        </w:rPr>
        <w:t>ændringsloven</w:t>
      </w:r>
      <w:r w:rsidRPr="000D4513">
        <w:rPr>
          <w:rFonts w:cstheme="minorBidi"/>
        </w:rPr>
        <w:t xml:space="preserve"> indehold</w:t>
      </w:r>
      <w:r w:rsidR="00784B9F">
        <w:rPr>
          <w:rFonts w:cstheme="minorBidi"/>
        </w:rPr>
        <w:t>er</w:t>
      </w:r>
      <w:r w:rsidRPr="000D4513">
        <w:rPr>
          <w:rFonts w:cstheme="minorBidi"/>
        </w:rPr>
        <w:t xml:space="preserve"> udførlige anvisninger vedrørende </w:t>
      </w:r>
      <w:r w:rsidR="00E9606A" w:rsidRPr="000D4513">
        <w:rPr>
          <w:rFonts w:cstheme="minorBidi"/>
        </w:rPr>
        <w:t>handlingsplanens mulige</w:t>
      </w:r>
      <w:r w:rsidRPr="000D4513">
        <w:rPr>
          <w:rFonts w:cstheme="minorBidi"/>
        </w:rPr>
        <w:t xml:space="preserve"> indhold</w:t>
      </w:r>
      <w:r w:rsidR="00784B9F">
        <w:rPr>
          <w:rFonts w:cstheme="minorBidi"/>
        </w:rPr>
        <w:t>. Det er korrekt,</w:t>
      </w:r>
      <w:r w:rsidR="00E9606A" w:rsidRPr="000D4513">
        <w:rPr>
          <w:rFonts w:cstheme="minorBidi"/>
        </w:rPr>
        <w:t xml:space="preserve"> at der </w:t>
      </w:r>
      <w:r w:rsidR="00784B9F">
        <w:rPr>
          <w:rFonts w:cstheme="minorBidi"/>
        </w:rPr>
        <w:t>ikke er</w:t>
      </w:r>
      <w:r w:rsidR="00E9606A" w:rsidRPr="000D4513">
        <w:rPr>
          <w:rFonts w:cstheme="minorBidi"/>
        </w:rPr>
        <w:t xml:space="preserve"> formkrav til handlingsplanen, </w:t>
      </w:r>
      <w:r w:rsidR="00166EAA" w:rsidRPr="000D4513">
        <w:rPr>
          <w:rFonts w:cstheme="minorBidi"/>
        </w:rPr>
        <w:t>og at uddannelsesstedet selv sk</w:t>
      </w:r>
      <w:r w:rsidR="00784B9F">
        <w:rPr>
          <w:rFonts w:cstheme="minorBidi"/>
        </w:rPr>
        <w:t>al</w:t>
      </w:r>
      <w:r w:rsidR="00166EAA" w:rsidRPr="000D4513">
        <w:rPr>
          <w:rFonts w:cstheme="minorBidi"/>
        </w:rPr>
        <w:t xml:space="preserve"> vurdere, hvilke tiltag der bedst muligt kunne løse problemerne. Det </w:t>
      </w:r>
      <w:r w:rsidRPr="000D4513">
        <w:rPr>
          <w:rFonts w:cstheme="minorBidi"/>
        </w:rPr>
        <w:t>fremg</w:t>
      </w:r>
      <w:r w:rsidR="00784B9F">
        <w:rPr>
          <w:rFonts w:cstheme="minorBidi"/>
        </w:rPr>
        <w:t>år imidlertid</w:t>
      </w:r>
      <w:r w:rsidR="00166EAA" w:rsidRPr="000D4513">
        <w:rPr>
          <w:rFonts w:cstheme="minorBidi"/>
        </w:rPr>
        <w:t xml:space="preserve"> – som en minimumsforudsætning – </w:t>
      </w:r>
      <w:r w:rsidRPr="000D4513">
        <w:rPr>
          <w:rFonts w:cstheme="minorBidi"/>
        </w:rPr>
        <w:t xml:space="preserve">at </w:t>
      </w:r>
      <w:r w:rsidR="00E9606A" w:rsidRPr="000D4513">
        <w:rPr>
          <w:rFonts w:cstheme="minorBidi"/>
        </w:rPr>
        <w:t>handlingsplan</w:t>
      </w:r>
      <w:r w:rsidR="00166EAA" w:rsidRPr="000D4513">
        <w:rPr>
          <w:rFonts w:cstheme="minorBidi"/>
        </w:rPr>
        <w:t>en</w:t>
      </w:r>
      <w:r w:rsidR="00E9606A" w:rsidRPr="000D4513">
        <w:rPr>
          <w:rFonts w:cstheme="minorBidi"/>
        </w:rPr>
        <w:t xml:space="preserve"> kort </w:t>
      </w:r>
      <w:r w:rsidR="00166EAA" w:rsidRPr="000D4513">
        <w:rPr>
          <w:rFonts w:cstheme="minorBidi"/>
        </w:rPr>
        <w:t>sk</w:t>
      </w:r>
      <w:r w:rsidR="00784B9F">
        <w:rPr>
          <w:rFonts w:cstheme="minorBidi"/>
        </w:rPr>
        <w:t>al</w:t>
      </w:r>
      <w:r w:rsidR="00166EAA" w:rsidRPr="000D4513">
        <w:rPr>
          <w:rFonts w:cstheme="minorBidi"/>
        </w:rPr>
        <w:t xml:space="preserve"> </w:t>
      </w:r>
      <w:r w:rsidR="00E9606A" w:rsidRPr="000D4513">
        <w:rPr>
          <w:rFonts w:cstheme="minorBidi"/>
        </w:rPr>
        <w:t>ridse op, hvordan den givne problemstilling med det psykiske undervisningsmiljø tænkes løst i form af en beskrivelse af de handlinger, der vurderes at være nødvendige. Der fremg</w:t>
      </w:r>
      <w:r w:rsidR="00784B9F">
        <w:rPr>
          <w:rFonts w:cstheme="minorBidi"/>
        </w:rPr>
        <w:t>år</w:t>
      </w:r>
      <w:r w:rsidR="00E9606A" w:rsidRPr="000D4513">
        <w:rPr>
          <w:rFonts w:cstheme="minorBidi"/>
        </w:rPr>
        <w:t xml:space="preserve"> endvidere, at der ved at nedfælde, hvordan problemerne løses, skabes en fælles retning for det genoprettende arbejde, og i øvrigt, at dokumentet havde til formål at skabe en gennemsigtighed for elever og forældre i forhold til uddannelsesstedets håndtering af situationen.</w:t>
      </w:r>
      <w:r w:rsidR="00166EAA" w:rsidRPr="000D4513">
        <w:rPr>
          <w:rFonts w:cstheme="minorBidi"/>
        </w:rPr>
        <w:t xml:space="preserve"> Det anførtes, at f</w:t>
      </w:r>
      <w:r w:rsidR="00E9606A" w:rsidRPr="000D4513">
        <w:rPr>
          <w:rFonts w:cstheme="minorBidi"/>
        </w:rPr>
        <w:t>oranstaltningerne i handlingsplanen k</w:t>
      </w:r>
      <w:r w:rsidR="00C9309D">
        <w:rPr>
          <w:rFonts w:cstheme="minorBidi"/>
        </w:rPr>
        <w:t>an</w:t>
      </w:r>
      <w:r w:rsidR="00E9606A" w:rsidRPr="000D4513">
        <w:rPr>
          <w:rFonts w:cstheme="minorBidi"/>
        </w:rPr>
        <w:t xml:space="preserve"> være kort- eller langsigtede og ligge på skole-, klasse- eller individniveau. </w:t>
      </w:r>
      <w:r w:rsidR="00166EAA" w:rsidRPr="000D4513">
        <w:rPr>
          <w:rFonts w:cstheme="minorBidi"/>
        </w:rPr>
        <w:t>Derefter fulgte til inspiration en liste med 11 konkrete f</w:t>
      </w:r>
      <w:r w:rsidR="00E9606A" w:rsidRPr="000D4513">
        <w:rPr>
          <w:rFonts w:cstheme="minorBidi"/>
        </w:rPr>
        <w:t>oranstaltninger</w:t>
      </w:r>
      <w:r w:rsidR="00166EAA" w:rsidRPr="000D4513">
        <w:rPr>
          <w:rFonts w:cstheme="minorBidi"/>
        </w:rPr>
        <w:t xml:space="preserve">, idet det samtidig </w:t>
      </w:r>
      <w:r w:rsidR="00784B9F">
        <w:rPr>
          <w:rFonts w:cstheme="minorBidi"/>
        </w:rPr>
        <w:t>udtrykkelig er anført</w:t>
      </w:r>
      <w:r w:rsidR="00166EAA" w:rsidRPr="000D4513">
        <w:rPr>
          <w:rFonts w:cstheme="minorBidi"/>
        </w:rPr>
        <w:t xml:space="preserve">, at der ikke </w:t>
      </w:r>
      <w:r w:rsidR="00C9309D">
        <w:rPr>
          <w:rFonts w:cstheme="minorBidi"/>
        </w:rPr>
        <w:t>e</w:t>
      </w:r>
      <w:r w:rsidR="00166EAA" w:rsidRPr="000D4513">
        <w:rPr>
          <w:rFonts w:cstheme="minorBidi"/>
        </w:rPr>
        <w:t>r tale om udtømmende opregning.</w:t>
      </w:r>
    </w:p>
    <w:p w14:paraId="38C572BB" w14:textId="77777777" w:rsidR="00E9606A" w:rsidRPr="000D4513" w:rsidRDefault="00E9606A" w:rsidP="00B75D2B">
      <w:pPr>
        <w:pStyle w:val="Brdtekst"/>
        <w:rPr>
          <w:rFonts w:cstheme="minorBidi"/>
        </w:rPr>
      </w:pPr>
    </w:p>
    <w:p w14:paraId="258058D7" w14:textId="0111BA1F" w:rsidR="00B75D2B" w:rsidRPr="000D4513" w:rsidRDefault="00784B9F" w:rsidP="00B75D2B">
      <w:pPr>
        <w:pStyle w:val="Brdtekst"/>
        <w:rPr>
          <w:rFonts w:cstheme="minorBidi"/>
        </w:rPr>
      </w:pPr>
      <w:r>
        <w:t>Til</w:t>
      </w:r>
      <w:r w:rsidR="00BA7A45">
        <w:t>kende</w:t>
      </w:r>
      <w:r>
        <w:t xml:space="preserve">givelserne i bemærkningerne er </w:t>
      </w:r>
      <w:r w:rsidR="00B75D2B" w:rsidRPr="000D4513">
        <w:t xml:space="preserve">også </w:t>
      </w:r>
      <w:r w:rsidR="00E9606A" w:rsidRPr="000D4513">
        <w:t>i denne henseende</w:t>
      </w:r>
      <w:r w:rsidR="00B75D2B" w:rsidRPr="000D4513">
        <w:t xml:space="preserve"> baseret på </w:t>
      </w:r>
      <w:r w:rsidR="00E9606A" w:rsidRPr="000D4513">
        <w:t>d</w:t>
      </w:r>
      <w:r w:rsidR="00B75D2B" w:rsidRPr="000D4513">
        <w:t>et grundsyn</w:t>
      </w:r>
      <w:r w:rsidR="00E9606A" w:rsidRPr="000D4513">
        <w:t xml:space="preserve"> om, at lokal metodefrihed ville føre til bedre resultater end usmidig minimumsregulering, som også gjorde sig gældende med hensyn til antimobbestrategiens indhold, jf. </w:t>
      </w:r>
      <w:r w:rsidR="00E241C6" w:rsidRPr="000D4513">
        <w:t xml:space="preserve">herved </w:t>
      </w:r>
      <w:r w:rsidR="00E9606A" w:rsidRPr="000D4513">
        <w:t xml:space="preserve">bemærkningerne i </w:t>
      </w:r>
      <w:r w:rsidR="00166EAA" w:rsidRPr="000D4513">
        <w:t xml:space="preserve">afsnit </w:t>
      </w:r>
      <w:r w:rsidR="00166EAA" w:rsidRPr="000D4513">
        <w:fldChar w:fldCharType="begin"/>
      </w:r>
      <w:r w:rsidR="00166EAA" w:rsidRPr="000D4513">
        <w:instrText xml:space="preserve"> REF _Ref53244799 \r \h </w:instrText>
      </w:r>
      <w:r w:rsidR="000D4513">
        <w:instrText xml:space="preserve"> \* MERGEFORMAT </w:instrText>
      </w:r>
      <w:r w:rsidR="00166EAA" w:rsidRPr="000D4513">
        <w:fldChar w:fldCharType="separate"/>
      </w:r>
      <w:r w:rsidR="00D75B58" w:rsidRPr="000D4513">
        <w:t>7.3</w:t>
      </w:r>
      <w:r w:rsidR="00166EAA" w:rsidRPr="000D4513">
        <w:fldChar w:fldCharType="end"/>
      </w:r>
      <w:r w:rsidR="00B75D2B" w:rsidRPr="000D4513">
        <w:t xml:space="preserve">. </w:t>
      </w:r>
      <w:r w:rsidR="00E9606A" w:rsidRPr="000D4513">
        <w:t xml:space="preserve">Også her </w:t>
      </w:r>
      <w:r w:rsidR="00C9309D">
        <w:t>gælder en risiko for, at</w:t>
      </w:r>
      <w:r w:rsidR="00166EAA" w:rsidRPr="000D4513">
        <w:t xml:space="preserve"> fikserede minimumskrav over tid </w:t>
      </w:r>
      <w:r w:rsidR="00E241C6" w:rsidRPr="000D4513">
        <w:t>ofte</w:t>
      </w:r>
      <w:r w:rsidR="00C9309D">
        <w:t xml:space="preserve"> vil kunne</w:t>
      </w:r>
      <w:r w:rsidR="00E241C6" w:rsidRPr="000D4513">
        <w:t xml:space="preserve"> </w:t>
      </w:r>
      <w:r w:rsidR="00166EAA" w:rsidRPr="000D4513">
        <w:t>føre</w:t>
      </w:r>
      <w:r w:rsidR="00E241C6" w:rsidRPr="000D4513">
        <w:t xml:space="preserve"> til</w:t>
      </w:r>
      <w:r w:rsidR="00166EAA" w:rsidRPr="000D4513">
        <w:t xml:space="preserve">, </w:t>
      </w:r>
      <w:r w:rsidR="00B75D2B" w:rsidRPr="000D4513">
        <w:t>at minimum bliver til maksimum og standard. På den anden side kan det ikke</w:t>
      </w:r>
      <w:r w:rsidR="00166EAA" w:rsidRPr="000D4513">
        <w:t xml:space="preserve"> heller </w:t>
      </w:r>
      <w:r w:rsidR="00166EAA" w:rsidRPr="000D4513">
        <w:lastRenderedPageBreak/>
        <w:t>ikke her</w:t>
      </w:r>
      <w:r w:rsidR="00B75D2B" w:rsidRPr="000D4513">
        <w:t xml:space="preserve"> udelukkes, at det vil kunne være hensigtsmæssigt med en kvalificering/beskrivelse i selve lovgivningen af, hvilke centrale elementer</w:t>
      </w:r>
      <w:r w:rsidR="00606DAF">
        <w:t xml:space="preserve"> der man overvejes ved udarbejdelse af handlingsplanen</w:t>
      </w:r>
      <w:r w:rsidR="00B75D2B" w:rsidRPr="000D4513">
        <w:t>.</w:t>
      </w:r>
      <w:r w:rsidR="00166EAA" w:rsidRPr="000D4513">
        <w:t xml:space="preserve"> </w:t>
      </w:r>
    </w:p>
    <w:p w14:paraId="749A0A40" w14:textId="2EF9263C" w:rsidR="00B75D2B" w:rsidRPr="000D4513" w:rsidRDefault="00B75D2B" w:rsidP="004A2E11">
      <w:pPr>
        <w:rPr>
          <w:szCs w:val="22"/>
        </w:rPr>
      </w:pPr>
    </w:p>
    <w:p w14:paraId="4855C60C" w14:textId="027E5CDC" w:rsidR="00D06F13" w:rsidRPr="000D4513" w:rsidRDefault="00D06F13" w:rsidP="00D06F13">
      <w:pPr>
        <w:pStyle w:val="Brdtekst"/>
        <w:rPr>
          <w:i/>
          <w:u w:val="single"/>
        </w:rPr>
      </w:pPr>
      <w:r w:rsidRPr="000D4513">
        <w:rPr>
          <w:i/>
          <w:u w:val="single"/>
        </w:rPr>
        <w:t>Ad pkt. 4-</w:t>
      </w:r>
      <w:r w:rsidR="006101F3" w:rsidRPr="000D4513">
        <w:rPr>
          <w:i/>
          <w:u w:val="single"/>
        </w:rPr>
        <w:t>8</w:t>
      </w:r>
    </w:p>
    <w:p w14:paraId="273CA08B" w14:textId="59277C95" w:rsidR="00D06F13" w:rsidRPr="000D4513" w:rsidRDefault="00D06F13" w:rsidP="00D06F13">
      <w:pPr>
        <w:rPr>
          <w:szCs w:val="22"/>
        </w:rPr>
      </w:pPr>
      <w:r w:rsidRPr="000D4513">
        <w:rPr>
          <w:szCs w:val="22"/>
        </w:rPr>
        <w:t xml:space="preserve">De rejste problemstillinger vedrører alle reelt spørgsmålet om </w:t>
      </w:r>
      <w:r w:rsidR="006101F3" w:rsidRPr="000D4513">
        <w:rPr>
          <w:szCs w:val="22"/>
        </w:rPr>
        <w:t xml:space="preserve">konstruktionen og </w:t>
      </w:r>
      <w:r w:rsidRPr="000D4513">
        <w:rPr>
          <w:szCs w:val="22"/>
        </w:rPr>
        <w:t xml:space="preserve">hensigtsmæssigheden af </w:t>
      </w:r>
      <w:r w:rsidR="006101F3" w:rsidRPr="000D4513">
        <w:rPr>
          <w:szCs w:val="22"/>
        </w:rPr>
        <w:t>den valgte remonstrationsordning</w:t>
      </w:r>
      <w:r w:rsidR="00D3114E" w:rsidRPr="000D4513">
        <w:rPr>
          <w:szCs w:val="22"/>
        </w:rPr>
        <w:t>,</w:t>
      </w:r>
      <w:r w:rsidRPr="000D4513">
        <w:rPr>
          <w:szCs w:val="22"/>
        </w:rPr>
        <w:t xml:space="preserve"> d</w:t>
      </w:r>
      <w:r w:rsidR="00D3114E" w:rsidRPr="000D4513">
        <w:rPr>
          <w:szCs w:val="22"/>
        </w:rPr>
        <w:t xml:space="preserve">vs. kravet om, at en klage indgives til uddannelsesstedet med henblik på </w:t>
      </w:r>
      <w:r w:rsidR="006101F3" w:rsidRPr="000D4513">
        <w:rPr>
          <w:szCs w:val="22"/>
        </w:rPr>
        <w:t xml:space="preserve">lokal </w:t>
      </w:r>
      <w:r w:rsidR="00D3114E" w:rsidRPr="000D4513">
        <w:rPr>
          <w:szCs w:val="22"/>
        </w:rPr>
        <w:t>revurdering inden eventuel involvering af DCUM.</w:t>
      </w:r>
    </w:p>
    <w:p w14:paraId="3D5E67F1" w14:textId="75CBA4FC" w:rsidR="00D3114E" w:rsidRPr="000D4513" w:rsidRDefault="00D3114E" w:rsidP="00D06F13">
      <w:pPr>
        <w:rPr>
          <w:szCs w:val="22"/>
        </w:rPr>
      </w:pPr>
    </w:p>
    <w:p w14:paraId="76EF0C44" w14:textId="511678C1" w:rsidR="00D3114E" w:rsidRPr="000D4513" w:rsidRDefault="00D3114E" w:rsidP="008F0334">
      <w:pPr>
        <w:rPr>
          <w:szCs w:val="22"/>
        </w:rPr>
      </w:pPr>
      <w:r w:rsidRPr="000D4513">
        <w:rPr>
          <w:szCs w:val="22"/>
        </w:rPr>
        <w:t xml:space="preserve">Indledningsvis bemærkes, at intentionen </w:t>
      </w:r>
      <w:r w:rsidR="008F0334" w:rsidRPr="000D4513">
        <w:rPr>
          <w:szCs w:val="22"/>
        </w:rPr>
        <w:t>og</w:t>
      </w:r>
      <w:r w:rsidRPr="000D4513">
        <w:rPr>
          <w:szCs w:val="22"/>
        </w:rPr>
        <w:t xml:space="preserve"> formål</w:t>
      </w:r>
      <w:r w:rsidR="008F0334" w:rsidRPr="000D4513">
        <w:rPr>
          <w:szCs w:val="22"/>
        </w:rPr>
        <w:t>et</w:t>
      </w:r>
      <w:r w:rsidRPr="000D4513">
        <w:rPr>
          <w:szCs w:val="22"/>
        </w:rPr>
        <w:t xml:space="preserve"> med denne ordning i første række </w:t>
      </w:r>
      <w:r w:rsidR="00336D5E">
        <w:rPr>
          <w:szCs w:val="22"/>
        </w:rPr>
        <w:t>e</w:t>
      </w:r>
      <w:r w:rsidRPr="000D4513">
        <w:rPr>
          <w:szCs w:val="22"/>
        </w:rPr>
        <w:t>r at hvert enkelt uddannelsessted sk</w:t>
      </w:r>
      <w:r w:rsidR="00336D5E">
        <w:rPr>
          <w:szCs w:val="22"/>
        </w:rPr>
        <w:t>al</w:t>
      </w:r>
      <w:r w:rsidRPr="000D4513">
        <w:rPr>
          <w:szCs w:val="22"/>
        </w:rPr>
        <w:t xml:space="preserve"> blive bedre til at tage fat om problemerne og få løst dem </w:t>
      </w:r>
      <w:r w:rsidR="008F0334" w:rsidRPr="000D4513">
        <w:rPr>
          <w:szCs w:val="22"/>
        </w:rPr>
        <w:t xml:space="preserve">hurtigere og </w:t>
      </w:r>
      <w:r w:rsidRPr="000D4513">
        <w:rPr>
          <w:szCs w:val="22"/>
        </w:rPr>
        <w:t>lokalt på uddannelsesstederne</w:t>
      </w:r>
      <w:r w:rsidR="008F0334" w:rsidRPr="000D4513">
        <w:rPr>
          <w:szCs w:val="22"/>
        </w:rPr>
        <w:t xml:space="preserve"> til gavn for både elever, forældremyndighedsindehavere og uddannelsesstedet selv</w:t>
      </w:r>
      <w:r w:rsidRPr="000D4513">
        <w:rPr>
          <w:szCs w:val="22"/>
        </w:rPr>
        <w:t>. Dertil kom sekundær</w:t>
      </w:r>
      <w:r w:rsidR="008F0334" w:rsidRPr="000D4513">
        <w:rPr>
          <w:szCs w:val="22"/>
        </w:rPr>
        <w:t>e</w:t>
      </w:r>
      <w:r w:rsidRPr="000D4513">
        <w:rPr>
          <w:szCs w:val="22"/>
        </w:rPr>
        <w:t xml:space="preserve"> målsætning</w:t>
      </w:r>
      <w:r w:rsidR="008F0334" w:rsidRPr="000D4513">
        <w:rPr>
          <w:szCs w:val="22"/>
        </w:rPr>
        <w:t>er</w:t>
      </w:r>
      <w:r w:rsidRPr="000D4513">
        <w:rPr>
          <w:szCs w:val="22"/>
        </w:rPr>
        <w:t xml:space="preserve"> om, at ordningen </w:t>
      </w:r>
      <w:r w:rsidR="008F0334" w:rsidRPr="000D4513">
        <w:rPr>
          <w:szCs w:val="22"/>
        </w:rPr>
        <w:t xml:space="preserve">dels </w:t>
      </w:r>
      <w:r w:rsidRPr="000D4513">
        <w:rPr>
          <w:szCs w:val="22"/>
        </w:rPr>
        <w:t>k</w:t>
      </w:r>
      <w:r w:rsidR="00C9309D">
        <w:rPr>
          <w:szCs w:val="22"/>
        </w:rPr>
        <w:t>an</w:t>
      </w:r>
      <w:r w:rsidRPr="000D4513">
        <w:rPr>
          <w:szCs w:val="22"/>
        </w:rPr>
        <w:t xml:space="preserve"> reducere antallet af kl</w:t>
      </w:r>
      <w:r w:rsidR="008F0334" w:rsidRPr="000D4513">
        <w:rPr>
          <w:szCs w:val="22"/>
        </w:rPr>
        <w:t>ager til DCUM, dels</w:t>
      </w:r>
      <w:r w:rsidRPr="000D4513">
        <w:rPr>
          <w:szCs w:val="22"/>
        </w:rPr>
        <w:t xml:space="preserve"> </w:t>
      </w:r>
      <w:r w:rsidR="008F0334" w:rsidRPr="000D4513">
        <w:rPr>
          <w:szCs w:val="22"/>
        </w:rPr>
        <w:t>k</w:t>
      </w:r>
      <w:r w:rsidR="00C9309D">
        <w:rPr>
          <w:szCs w:val="22"/>
        </w:rPr>
        <w:t>an</w:t>
      </w:r>
      <w:r w:rsidR="008F0334" w:rsidRPr="000D4513">
        <w:rPr>
          <w:szCs w:val="22"/>
        </w:rPr>
        <w:t xml:space="preserve"> spare</w:t>
      </w:r>
      <w:r w:rsidRPr="000D4513">
        <w:rPr>
          <w:szCs w:val="22"/>
        </w:rPr>
        <w:t xml:space="preserve"> tid til forberedende sagsbehandling både ho</w:t>
      </w:r>
      <w:r w:rsidR="008F0334" w:rsidRPr="000D4513">
        <w:rPr>
          <w:szCs w:val="22"/>
        </w:rPr>
        <w:t>s uddannelsesstederne og i DCUM</w:t>
      </w:r>
      <w:r w:rsidRPr="000D4513">
        <w:rPr>
          <w:szCs w:val="22"/>
        </w:rPr>
        <w:t>.</w:t>
      </w:r>
    </w:p>
    <w:p w14:paraId="11EC0A8B" w14:textId="77777777" w:rsidR="00D3114E" w:rsidRPr="000D4513" w:rsidRDefault="00D3114E" w:rsidP="00D06F13">
      <w:pPr>
        <w:rPr>
          <w:szCs w:val="22"/>
        </w:rPr>
      </w:pPr>
    </w:p>
    <w:p w14:paraId="681D182D" w14:textId="79B21EF3" w:rsidR="008F0334" w:rsidRPr="000D4513" w:rsidRDefault="00D3114E" w:rsidP="008F0334">
      <w:pPr>
        <w:rPr>
          <w:szCs w:val="22"/>
        </w:rPr>
      </w:pPr>
      <w:r w:rsidRPr="000D4513">
        <w:rPr>
          <w:szCs w:val="22"/>
        </w:rPr>
        <w:t xml:space="preserve">Der </w:t>
      </w:r>
      <w:r w:rsidR="00336D5E">
        <w:rPr>
          <w:szCs w:val="22"/>
        </w:rPr>
        <w:t>e</w:t>
      </w:r>
      <w:r w:rsidRPr="000D4513">
        <w:rPr>
          <w:szCs w:val="22"/>
        </w:rPr>
        <w:t xml:space="preserve">r </w:t>
      </w:r>
      <w:r w:rsidR="008F0334" w:rsidRPr="000D4513">
        <w:rPr>
          <w:szCs w:val="22"/>
        </w:rPr>
        <w:t>således</w:t>
      </w:r>
      <w:r w:rsidRPr="000D4513">
        <w:rPr>
          <w:szCs w:val="22"/>
        </w:rPr>
        <w:t xml:space="preserve"> </w:t>
      </w:r>
      <w:r w:rsidR="008F0334" w:rsidRPr="000D4513">
        <w:rPr>
          <w:szCs w:val="22"/>
        </w:rPr>
        <w:t xml:space="preserve">i rammesætningen </w:t>
      </w:r>
      <w:r w:rsidRPr="000D4513">
        <w:rPr>
          <w:szCs w:val="22"/>
        </w:rPr>
        <w:t xml:space="preserve">en klar forventning om, at </w:t>
      </w:r>
      <w:r w:rsidR="008F0334" w:rsidRPr="000D4513">
        <w:rPr>
          <w:szCs w:val="22"/>
        </w:rPr>
        <w:t>kommunalbestyrelser og institutionsbestyrelser først og fremmest selv sk</w:t>
      </w:r>
      <w:r w:rsidR="00C9309D">
        <w:rPr>
          <w:szCs w:val="22"/>
        </w:rPr>
        <w:t>al</w:t>
      </w:r>
      <w:r w:rsidR="008F0334" w:rsidRPr="000D4513">
        <w:rPr>
          <w:szCs w:val="22"/>
        </w:rPr>
        <w:t xml:space="preserve"> gå forrest med hensyn til forebyggelse og bekæmpelse af mobning, og at de sk</w:t>
      </w:r>
      <w:r w:rsidR="00C9309D">
        <w:rPr>
          <w:szCs w:val="22"/>
        </w:rPr>
        <w:t>al</w:t>
      </w:r>
      <w:r w:rsidR="008F0334" w:rsidRPr="000D4513">
        <w:rPr>
          <w:szCs w:val="22"/>
        </w:rPr>
        <w:t xml:space="preserve"> løse de konkrete konflikter lokalt, således at påbud og sanktioner kun komme</w:t>
      </w:r>
      <w:r w:rsidR="00484ABC">
        <w:rPr>
          <w:szCs w:val="22"/>
        </w:rPr>
        <w:t>r</w:t>
      </w:r>
      <w:r w:rsidR="008F0334" w:rsidRPr="000D4513">
        <w:rPr>
          <w:szCs w:val="22"/>
        </w:rPr>
        <w:t xml:space="preserve"> på tale i yderste konsekvens. </w:t>
      </w:r>
    </w:p>
    <w:p w14:paraId="3D0E49F2" w14:textId="1DF4540C" w:rsidR="008F0334" w:rsidRPr="000D4513" w:rsidRDefault="008F0334" w:rsidP="008F0334">
      <w:pPr>
        <w:rPr>
          <w:szCs w:val="22"/>
        </w:rPr>
      </w:pPr>
    </w:p>
    <w:p w14:paraId="05B1802E" w14:textId="549DE7D1" w:rsidR="00D3114E" w:rsidRPr="000D4513" w:rsidRDefault="00D3114E" w:rsidP="008F0334">
      <w:pPr>
        <w:rPr>
          <w:szCs w:val="22"/>
        </w:rPr>
      </w:pPr>
      <w:r w:rsidRPr="000D4513">
        <w:rPr>
          <w:szCs w:val="22"/>
        </w:rPr>
        <w:t xml:space="preserve">For selvejende uddannelsessteder </w:t>
      </w:r>
      <w:r w:rsidR="00336D5E">
        <w:rPr>
          <w:szCs w:val="22"/>
        </w:rPr>
        <w:t>er</w:t>
      </w:r>
      <w:r w:rsidRPr="000D4513">
        <w:rPr>
          <w:szCs w:val="22"/>
        </w:rPr>
        <w:t xml:space="preserve"> det </w:t>
      </w:r>
      <w:r w:rsidR="008F0334" w:rsidRPr="000D4513">
        <w:rPr>
          <w:szCs w:val="22"/>
        </w:rPr>
        <w:t xml:space="preserve">således den klare hensigt, at det </w:t>
      </w:r>
      <w:r w:rsidR="00336D5E">
        <w:rPr>
          <w:szCs w:val="22"/>
        </w:rPr>
        <w:t>er</w:t>
      </w:r>
      <w:r w:rsidRPr="000D4513">
        <w:rPr>
          <w:szCs w:val="22"/>
        </w:rPr>
        <w:t xml:space="preserve"> bestyrelsen for uddannelsesstedet, som sk</w:t>
      </w:r>
      <w:r w:rsidR="00336D5E">
        <w:rPr>
          <w:szCs w:val="22"/>
        </w:rPr>
        <w:t>al</w:t>
      </w:r>
      <w:r w:rsidRPr="000D4513">
        <w:rPr>
          <w:szCs w:val="22"/>
        </w:rPr>
        <w:t xml:space="preserve"> vurdere, om der er grundlag for at give klager helt eller delvist medhold. For kommunale uddannelsessteder </w:t>
      </w:r>
      <w:r w:rsidR="00336D5E">
        <w:rPr>
          <w:szCs w:val="22"/>
        </w:rPr>
        <w:t>e</w:t>
      </w:r>
      <w:r w:rsidR="008F0334" w:rsidRPr="000D4513">
        <w:rPr>
          <w:szCs w:val="22"/>
        </w:rPr>
        <w:t>r hensigten</w:t>
      </w:r>
      <w:r w:rsidR="009D6F64" w:rsidRPr="000D4513">
        <w:rPr>
          <w:szCs w:val="22"/>
        </w:rPr>
        <w:t xml:space="preserve"> ligeså klart</w:t>
      </w:r>
      <w:r w:rsidR="008F0334" w:rsidRPr="000D4513">
        <w:rPr>
          <w:szCs w:val="22"/>
        </w:rPr>
        <w:t>, at</w:t>
      </w:r>
      <w:r w:rsidRPr="000D4513">
        <w:rPr>
          <w:szCs w:val="22"/>
        </w:rPr>
        <w:t xml:space="preserve"> det</w:t>
      </w:r>
      <w:r w:rsidR="008F0334" w:rsidRPr="000D4513">
        <w:rPr>
          <w:szCs w:val="22"/>
        </w:rPr>
        <w:t xml:space="preserve"> </w:t>
      </w:r>
      <w:r w:rsidR="00336D5E">
        <w:rPr>
          <w:szCs w:val="22"/>
        </w:rPr>
        <w:t>er</w:t>
      </w:r>
      <w:r w:rsidRPr="000D4513">
        <w:rPr>
          <w:szCs w:val="22"/>
        </w:rPr>
        <w:t xml:space="preserve"> kommunalbestyrelsen, som </w:t>
      </w:r>
      <w:r w:rsidR="00336D5E">
        <w:rPr>
          <w:szCs w:val="22"/>
        </w:rPr>
        <w:t>skal</w:t>
      </w:r>
      <w:r w:rsidRPr="000D4513">
        <w:rPr>
          <w:szCs w:val="22"/>
        </w:rPr>
        <w:t xml:space="preserve"> vurdere, om der er grundlag for at give klager helt eller delvist medhold.</w:t>
      </w:r>
      <w:r w:rsidR="008F0334" w:rsidRPr="000D4513">
        <w:rPr>
          <w:szCs w:val="22"/>
        </w:rPr>
        <w:t xml:space="preserve"> Sidstnævnte understreges af den </w:t>
      </w:r>
      <w:r w:rsidR="009D6F64" w:rsidRPr="000D4513">
        <w:rPr>
          <w:szCs w:val="22"/>
        </w:rPr>
        <w:t xml:space="preserve">genindførelse af kommunalbestyrelsens mulighed for at behandle skolelederens beslutninger om mobning, som med ændringsloven blev etableret </w:t>
      </w:r>
      <w:r w:rsidR="005A4E51" w:rsidRPr="000D4513">
        <w:rPr>
          <w:szCs w:val="22"/>
        </w:rPr>
        <w:t>gennem</w:t>
      </w:r>
      <w:r w:rsidR="009D6F64" w:rsidRPr="000D4513">
        <w:rPr>
          <w:szCs w:val="22"/>
        </w:rPr>
        <w:t xml:space="preserve"> en </w:t>
      </w:r>
      <w:r w:rsidR="008F0334" w:rsidRPr="000D4513">
        <w:rPr>
          <w:szCs w:val="22"/>
        </w:rPr>
        <w:t>ændring af</w:t>
      </w:r>
      <w:r w:rsidR="009D6F64" w:rsidRPr="000D4513">
        <w:rPr>
          <w:szCs w:val="22"/>
        </w:rPr>
        <w:t xml:space="preserve"> folkeskoleloven.</w:t>
      </w:r>
      <w:r w:rsidR="008F0334" w:rsidRPr="000D4513">
        <w:rPr>
          <w:szCs w:val="22"/>
        </w:rPr>
        <w:t xml:space="preserve"> </w:t>
      </w:r>
    </w:p>
    <w:p w14:paraId="5117FAEC" w14:textId="77777777" w:rsidR="00D3114E" w:rsidRPr="000D4513" w:rsidRDefault="00D3114E" w:rsidP="00D06F13">
      <w:pPr>
        <w:rPr>
          <w:szCs w:val="22"/>
        </w:rPr>
      </w:pPr>
    </w:p>
    <w:p w14:paraId="21AAA54D" w14:textId="415A55F3" w:rsidR="009D6F64" w:rsidRPr="000D4513" w:rsidRDefault="009D6F64" w:rsidP="00D06F13">
      <w:pPr>
        <w:rPr>
          <w:szCs w:val="22"/>
        </w:rPr>
      </w:pPr>
      <w:r w:rsidRPr="000D4513">
        <w:rPr>
          <w:szCs w:val="22"/>
        </w:rPr>
        <w:t xml:space="preserve">Med andre ord lå der i rammesætningen et udtalt ønske om </w:t>
      </w:r>
      <w:r w:rsidR="00336D5E">
        <w:rPr>
          <w:szCs w:val="22"/>
        </w:rPr>
        <w:t xml:space="preserve">at sikre, at der er mulighed for, at en sag kan behandles og endeligt afgøres af den øverst ansvarlige for institutionen/skolen </w:t>
      </w:r>
      <w:r w:rsidRPr="000D4513">
        <w:rPr>
          <w:szCs w:val="22"/>
        </w:rPr>
        <w:t>(bestyrelsen eller kommunalbestyrelsen)</w:t>
      </w:r>
      <w:r w:rsidR="00336D5E">
        <w:rPr>
          <w:szCs w:val="22"/>
        </w:rPr>
        <w:t>,</w:t>
      </w:r>
      <w:r w:rsidR="00484ABC">
        <w:rPr>
          <w:szCs w:val="22"/>
        </w:rPr>
        <w:t xml:space="preserve"> </w:t>
      </w:r>
      <w:r w:rsidR="00336D5E">
        <w:rPr>
          <w:szCs w:val="22"/>
        </w:rPr>
        <w:t>inden sagen</w:t>
      </w:r>
      <w:r w:rsidRPr="000D4513">
        <w:rPr>
          <w:szCs w:val="22"/>
        </w:rPr>
        <w:t xml:space="preserve"> derefter om nødvendigt </w:t>
      </w:r>
      <w:r w:rsidR="00336D5E">
        <w:rPr>
          <w:szCs w:val="22"/>
        </w:rPr>
        <w:t>skal til</w:t>
      </w:r>
      <w:r w:rsidRPr="000D4513">
        <w:rPr>
          <w:szCs w:val="22"/>
        </w:rPr>
        <w:t xml:space="preserve"> prøvelse i DCUM.</w:t>
      </w:r>
    </w:p>
    <w:p w14:paraId="13BD28A7" w14:textId="77777777" w:rsidR="009D6F64" w:rsidRPr="000D4513" w:rsidRDefault="009D6F64" w:rsidP="00D06F13">
      <w:pPr>
        <w:rPr>
          <w:szCs w:val="22"/>
        </w:rPr>
      </w:pPr>
    </w:p>
    <w:p w14:paraId="569142F7" w14:textId="28B3B2D0" w:rsidR="00D06F13" w:rsidRPr="000D4513" w:rsidRDefault="009D6F64" w:rsidP="00D06F13">
      <w:pPr>
        <w:rPr>
          <w:szCs w:val="22"/>
        </w:rPr>
      </w:pPr>
      <w:r w:rsidRPr="000D4513">
        <w:rPr>
          <w:szCs w:val="22"/>
        </w:rPr>
        <w:t xml:space="preserve">Det </w:t>
      </w:r>
      <w:r w:rsidR="00336D5E">
        <w:rPr>
          <w:szCs w:val="22"/>
        </w:rPr>
        <w:t>er dog</w:t>
      </w:r>
      <w:r w:rsidRPr="000D4513">
        <w:rPr>
          <w:szCs w:val="22"/>
        </w:rPr>
        <w:t xml:space="preserve"> i bemærkningerne til lovforslaget bag ændringsloven samtidig anført, at der med den nye ordning ikke </w:t>
      </w:r>
      <w:r w:rsidR="005A4E51" w:rsidRPr="000D4513">
        <w:rPr>
          <w:szCs w:val="22"/>
        </w:rPr>
        <w:t xml:space="preserve">ville være </w:t>
      </w:r>
      <w:r w:rsidR="008F0334" w:rsidRPr="000D4513">
        <w:rPr>
          <w:szCs w:val="22"/>
        </w:rPr>
        <w:t>et forbud mod at delegere kompetencen til fx skolens leder eller rektor.</w:t>
      </w:r>
      <w:r w:rsidR="00336D5E">
        <w:rPr>
          <w:szCs w:val="22"/>
        </w:rPr>
        <w:t xml:space="preserve"> Dette er op til lokal beslutning.</w:t>
      </w:r>
    </w:p>
    <w:p w14:paraId="15F691F6" w14:textId="57D51322" w:rsidR="008F0334" w:rsidRPr="000D4513" w:rsidRDefault="008F0334" w:rsidP="00D06F13">
      <w:pPr>
        <w:rPr>
          <w:szCs w:val="22"/>
        </w:rPr>
      </w:pPr>
    </w:p>
    <w:p w14:paraId="244BEEFF" w14:textId="7DC5A6E2" w:rsidR="009D6F64" w:rsidRPr="000D4513" w:rsidRDefault="009D6F64" w:rsidP="00D06F13">
      <w:pPr>
        <w:rPr>
          <w:szCs w:val="22"/>
        </w:rPr>
      </w:pPr>
      <w:r w:rsidRPr="000D4513">
        <w:rPr>
          <w:szCs w:val="22"/>
        </w:rPr>
        <w:t>Ud fra udsagn og tilkendegivelser</w:t>
      </w:r>
      <w:r w:rsidR="009A04CA" w:rsidRPr="000D4513">
        <w:rPr>
          <w:szCs w:val="22"/>
        </w:rPr>
        <w:t xml:space="preserve"> i både Epinions evaluering og i høringssvarene er det tydeligt, at en rammesætning, som altovervejen</w:t>
      </w:r>
      <w:r w:rsidR="00C9309D">
        <w:rPr>
          <w:szCs w:val="22"/>
        </w:rPr>
        <w:t>d</w:t>
      </w:r>
      <w:r w:rsidR="009A04CA" w:rsidRPr="000D4513">
        <w:rPr>
          <w:szCs w:val="22"/>
        </w:rPr>
        <w:t xml:space="preserve">e var tiltænkt at skulle stimulere til og sikre hurtigere, bedre og mindre konfliktfyldt lokal håndtering af mobbesager, i stedet – både i elevers/forældres og uddannelsesstedernes optik – er blevet en </w:t>
      </w:r>
      <w:r w:rsidR="006101F3" w:rsidRPr="000D4513">
        <w:rPr>
          <w:szCs w:val="22"/>
        </w:rPr>
        <w:t>formalistisk præget og ofte konfliktoptrappende proces.</w:t>
      </w:r>
    </w:p>
    <w:p w14:paraId="1F337F09" w14:textId="1559AF10" w:rsidR="006101F3" w:rsidRPr="000D4513" w:rsidRDefault="006101F3" w:rsidP="00D06F13">
      <w:pPr>
        <w:rPr>
          <w:szCs w:val="22"/>
        </w:rPr>
      </w:pPr>
    </w:p>
    <w:p w14:paraId="7B527EC8" w14:textId="5DD17736" w:rsidR="00D06F13" w:rsidRPr="000D4513" w:rsidRDefault="006101F3" w:rsidP="006101F3">
      <w:pPr>
        <w:rPr>
          <w:szCs w:val="22"/>
        </w:rPr>
      </w:pPr>
      <w:r w:rsidRPr="000D4513">
        <w:rPr>
          <w:szCs w:val="22"/>
        </w:rPr>
        <w:t xml:space="preserve">Det er ministeriets opfattelse, at der i de videre overvejelser bør ses på den samlede konstruktion af </w:t>
      </w:r>
      <w:r w:rsidR="005A4E51" w:rsidRPr="000D4513">
        <w:rPr>
          <w:szCs w:val="22"/>
        </w:rPr>
        <w:t xml:space="preserve">den </w:t>
      </w:r>
      <w:r w:rsidRPr="000D4513">
        <w:rPr>
          <w:szCs w:val="22"/>
        </w:rPr>
        <w:t>lokale remonstrationsordning.</w:t>
      </w:r>
      <w:r w:rsidR="00D06F13" w:rsidRPr="000D4513">
        <w:t xml:space="preserve"> </w:t>
      </w:r>
    </w:p>
    <w:p w14:paraId="3A9E3158" w14:textId="77777777" w:rsidR="00166EAA" w:rsidRPr="000D4513" w:rsidRDefault="00166EAA" w:rsidP="00D06F13">
      <w:pPr>
        <w:pStyle w:val="Brdtekst"/>
      </w:pPr>
    </w:p>
    <w:p w14:paraId="5CD3D633" w14:textId="5FCDE291" w:rsidR="00EC69E7" w:rsidRPr="000D4513" w:rsidRDefault="00EC69E7" w:rsidP="00EC69E7">
      <w:pPr>
        <w:pStyle w:val="Brdtekst"/>
        <w:rPr>
          <w:i/>
          <w:u w:val="single"/>
        </w:rPr>
      </w:pPr>
      <w:r w:rsidRPr="000D4513">
        <w:rPr>
          <w:i/>
          <w:u w:val="single"/>
        </w:rPr>
        <w:t>Ad pkt. 9</w:t>
      </w:r>
    </w:p>
    <w:p w14:paraId="2EB6C799" w14:textId="4068F10E" w:rsidR="00FE184F" w:rsidRPr="000D4513" w:rsidRDefault="009B0CB9" w:rsidP="009B0CB9">
      <w:r w:rsidRPr="000D4513">
        <w:t xml:space="preserve">Med hensyn til spørgsmålet </w:t>
      </w:r>
      <w:r w:rsidR="00484ABC">
        <w:t xml:space="preserve">om </w:t>
      </w:r>
      <w:r w:rsidRPr="000D4513">
        <w:t>d</w:t>
      </w:r>
      <w:r w:rsidR="00453CFB" w:rsidRPr="000D4513">
        <w:t>okumentationskrav</w:t>
      </w:r>
      <w:r w:rsidRPr="000D4513">
        <w:t xml:space="preserve"> er vandene delt i både Epinions evaluering og i høringssvarene</w:t>
      </w:r>
      <w:r w:rsidR="00FE184F" w:rsidRPr="000D4513">
        <w:t>.</w:t>
      </w:r>
    </w:p>
    <w:p w14:paraId="4E6D501D" w14:textId="77777777" w:rsidR="00FE184F" w:rsidRPr="000D4513" w:rsidRDefault="00FE184F" w:rsidP="009B0CB9"/>
    <w:p w14:paraId="1778AF74" w14:textId="10F97E41" w:rsidR="009B0CB9" w:rsidRPr="000D4513" w:rsidRDefault="009B0CB9" w:rsidP="009B0CB9">
      <w:pPr>
        <w:rPr>
          <w:rFonts w:cstheme="minorHAnsi"/>
          <w:szCs w:val="22"/>
        </w:rPr>
      </w:pPr>
      <w:r w:rsidRPr="000D4513">
        <w:t xml:space="preserve">Mens nogle høringsparter ser behov for øget </w:t>
      </w:r>
      <w:r w:rsidRPr="000D4513">
        <w:rPr>
          <w:szCs w:val="22"/>
        </w:rPr>
        <w:t>fokus på uddannelsesstedernes vejledningspligt, notatpligt, journalisering og informeringspligt ved afgørelser, herunder</w:t>
      </w:r>
      <w:r w:rsidRPr="000D4513">
        <w:t xml:space="preserve"> </w:t>
      </w:r>
      <w:r w:rsidRPr="000D4513">
        <w:rPr>
          <w:sz w:val="21"/>
          <w:szCs w:val="21"/>
        </w:rPr>
        <w:t xml:space="preserve">minimumskrav til dokumentationen </w:t>
      </w:r>
      <w:r w:rsidRPr="000D4513">
        <w:rPr>
          <w:rFonts w:cstheme="minorHAnsi"/>
          <w:szCs w:val="22"/>
        </w:rPr>
        <w:t xml:space="preserve">og et opgør med det, som betegnes </w:t>
      </w:r>
      <w:r w:rsidRPr="000D4513">
        <w:rPr>
          <w:rFonts w:cstheme="minorHAnsi"/>
          <w:szCs w:val="22"/>
        </w:rPr>
        <w:lastRenderedPageBreak/>
        <w:t>som den eksisterende mundtlighedskultur, advarer andre høringsparter mod yderligere dokumentationskrav, klageadgange m.v.</w:t>
      </w:r>
    </w:p>
    <w:p w14:paraId="31EC1ECE" w14:textId="76539812" w:rsidR="009B0CB9" w:rsidRPr="000D4513" w:rsidRDefault="009B0CB9" w:rsidP="009B0CB9">
      <w:pPr>
        <w:rPr>
          <w:rFonts w:cstheme="minorHAnsi"/>
          <w:szCs w:val="22"/>
        </w:rPr>
      </w:pPr>
    </w:p>
    <w:p w14:paraId="64B833C7" w14:textId="63937057" w:rsidR="009B0CB9" w:rsidRPr="000D4513" w:rsidRDefault="009B0CB9" w:rsidP="009B0CB9">
      <w:pPr>
        <w:rPr>
          <w:rFonts w:cstheme="minorHAnsi"/>
          <w:szCs w:val="22"/>
        </w:rPr>
      </w:pPr>
      <w:r w:rsidRPr="000D4513">
        <w:rPr>
          <w:rFonts w:cstheme="minorHAnsi"/>
          <w:szCs w:val="22"/>
        </w:rPr>
        <w:t xml:space="preserve">Ministeriet finder i denne sammenhæng </w:t>
      </w:r>
      <w:r w:rsidR="00FE184F" w:rsidRPr="000D4513">
        <w:rPr>
          <w:rFonts w:cstheme="minorHAnsi"/>
          <w:szCs w:val="22"/>
        </w:rPr>
        <w:t xml:space="preserve">indledningsvis </w:t>
      </w:r>
      <w:r w:rsidRPr="000D4513">
        <w:rPr>
          <w:rFonts w:cstheme="minorHAnsi"/>
          <w:szCs w:val="22"/>
        </w:rPr>
        <w:t>anledning til at bemærke, at den primære procesform i forvaltningen</w:t>
      </w:r>
      <w:r w:rsidR="00FE184F" w:rsidRPr="000D4513">
        <w:rPr>
          <w:rFonts w:cstheme="minorHAnsi"/>
          <w:szCs w:val="22"/>
        </w:rPr>
        <w:t xml:space="preserve"> generelt er </w:t>
      </w:r>
      <w:r w:rsidRPr="000D4513">
        <w:rPr>
          <w:rFonts w:cstheme="minorHAnsi"/>
          <w:szCs w:val="22"/>
        </w:rPr>
        <w:t>skriftlighed</w:t>
      </w:r>
      <w:r w:rsidR="00FE184F" w:rsidRPr="000D4513">
        <w:rPr>
          <w:rFonts w:cstheme="minorHAnsi"/>
          <w:szCs w:val="22"/>
        </w:rPr>
        <w:t>. Mundtlighed, eksempelvis forhandling eller afgørelse på baggrund af et møde, er på specielle forvaltningsområder den almindelige sagsbehandlingsfor</w:t>
      </w:r>
      <w:r w:rsidR="00484ABC">
        <w:rPr>
          <w:rFonts w:cstheme="minorHAnsi"/>
          <w:szCs w:val="22"/>
        </w:rPr>
        <w:t>m</w:t>
      </w:r>
      <w:r w:rsidR="00FE184F" w:rsidRPr="000D4513">
        <w:rPr>
          <w:rFonts w:cstheme="minorHAnsi"/>
          <w:szCs w:val="22"/>
        </w:rPr>
        <w:t xml:space="preserve">. Dette er således oftest kun tilfældet </w:t>
      </w:r>
      <w:r w:rsidR="00336D5E">
        <w:rPr>
          <w:rFonts w:cstheme="minorHAnsi"/>
          <w:szCs w:val="22"/>
        </w:rPr>
        <w:t>i forhold til visse</w:t>
      </w:r>
      <w:r w:rsidR="00336D5E" w:rsidRPr="00996005">
        <w:rPr>
          <w:rFonts w:cstheme="minorHAnsi"/>
          <w:szCs w:val="22"/>
        </w:rPr>
        <w:t xml:space="preserve"> </w:t>
      </w:r>
      <w:r w:rsidRPr="000D4513">
        <w:rPr>
          <w:rFonts w:cstheme="minorHAnsi"/>
          <w:szCs w:val="22"/>
        </w:rPr>
        <w:t xml:space="preserve">kollegialt sammensatte </w:t>
      </w:r>
      <w:r w:rsidR="00FE184F" w:rsidRPr="000D4513">
        <w:rPr>
          <w:rFonts w:cstheme="minorHAnsi"/>
          <w:szCs w:val="22"/>
        </w:rPr>
        <w:t>anke- og klagenævn</w:t>
      </w:r>
      <w:r w:rsidRPr="000D4513">
        <w:rPr>
          <w:rFonts w:cstheme="minorHAnsi"/>
          <w:szCs w:val="22"/>
        </w:rPr>
        <w:t xml:space="preserve">, </w:t>
      </w:r>
      <w:r w:rsidR="00FE184F" w:rsidRPr="000D4513">
        <w:rPr>
          <w:rFonts w:cstheme="minorHAnsi"/>
          <w:szCs w:val="22"/>
        </w:rPr>
        <w:t>som</w:t>
      </w:r>
      <w:r w:rsidRPr="000D4513">
        <w:rPr>
          <w:rFonts w:cstheme="minorHAnsi"/>
          <w:szCs w:val="22"/>
        </w:rPr>
        <w:t> </w:t>
      </w:r>
      <w:r w:rsidR="00FE184F" w:rsidRPr="000D4513">
        <w:rPr>
          <w:rFonts w:cstheme="minorHAnsi"/>
          <w:szCs w:val="22"/>
        </w:rPr>
        <w:t>typisk er undergivet en domstolslignende arbejdsform.</w:t>
      </w:r>
    </w:p>
    <w:p w14:paraId="7FFDD742" w14:textId="09A11A0F" w:rsidR="009B0CB9" w:rsidRPr="000D4513" w:rsidRDefault="009B0CB9" w:rsidP="009B0CB9">
      <w:pPr>
        <w:rPr>
          <w:rFonts w:cstheme="minorHAnsi"/>
          <w:szCs w:val="22"/>
        </w:rPr>
      </w:pPr>
    </w:p>
    <w:p w14:paraId="0471544B" w14:textId="22815E9D" w:rsidR="00996005" w:rsidRPr="000D4513" w:rsidRDefault="00996005" w:rsidP="009B0CB9">
      <w:pPr>
        <w:rPr>
          <w:rFonts w:cstheme="minorHAnsi"/>
          <w:szCs w:val="22"/>
        </w:rPr>
      </w:pPr>
      <w:r w:rsidRPr="000D4513">
        <w:rPr>
          <w:rFonts w:cstheme="minorHAnsi"/>
          <w:szCs w:val="22"/>
        </w:rPr>
        <w:t>Omvendt gælder der ikke nogen almindelig regel om, at forvaltningsafgørelser skal meddeles skriftligt. Det følger af bl.a. god forvaltningsskik, at en mundtligt meddelt afgørelse, der er byrdefuld for modtageren, bør bekræftes skriftligt, og at særligt indgribende afgørelser efter omstændighederne bør meddeles skriftligt.</w:t>
      </w:r>
    </w:p>
    <w:p w14:paraId="4DB5A31A" w14:textId="77777777" w:rsidR="00996005" w:rsidRPr="000D4513" w:rsidRDefault="00996005" w:rsidP="009B0CB9">
      <w:pPr>
        <w:rPr>
          <w:rFonts w:cstheme="minorHAnsi"/>
          <w:szCs w:val="22"/>
        </w:rPr>
      </w:pPr>
    </w:p>
    <w:p w14:paraId="52FE0115" w14:textId="41A026EA" w:rsidR="00996005" w:rsidRPr="000D4513" w:rsidRDefault="00996005" w:rsidP="009B0CB9">
      <w:pPr>
        <w:rPr>
          <w:rFonts w:cstheme="minorHAnsi"/>
          <w:szCs w:val="22"/>
        </w:rPr>
      </w:pPr>
      <w:r w:rsidRPr="000D4513">
        <w:rPr>
          <w:rFonts w:cstheme="minorHAnsi"/>
          <w:szCs w:val="22"/>
        </w:rPr>
        <w:t>E</w:t>
      </w:r>
      <w:r w:rsidR="0047738A" w:rsidRPr="000D4513">
        <w:rPr>
          <w:rFonts w:cstheme="minorHAnsi"/>
          <w:szCs w:val="22"/>
        </w:rPr>
        <w:t>r e</w:t>
      </w:r>
      <w:r w:rsidRPr="000D4513">
        <w:rPr>
          <w:rFonts w:cstheme="minorHAnsi"/>
          <w:szCs w:val="22"/>
        </w:rPr>
        <w:t>n forvaltningsafgørelse</w:t>
      </w:r>
      <w:r w:rsidR="0047738A" w:rsidRPr="000D4513">
        <w:rPr>
          <w:rFonts w:cstheme="minorHAnsi"/>
          <w:szCs w:val="22"/>
        </w:rPr>
        <w:t xml:space="preserve"> meddelt</w:t>
      </w:r>
      <w:r w:rsidRPr="000D4513">
        <w:rPr>
          <w:rFonts w:cstheme="minorHAnsi"/>
          <w:szCs w:val="22"/>
        </w:rPr>
        <w:t xml:space="preserve"> skriftligt, skal </w:t>
      </w:r>
      <w:r w:rsidR="0047738A" w:rsidRPr="000D4513">
        <w:rPr>
          <w:rFonts w:cstheme="minorHAnsi"/>
          <w:szCs w:val="22"/>
        </w:rPr>
        <w:t xml:space="preserve">den </w:t>
      </w:r>
      <w:r w:rsidRPr="000D4513">
        <w:rPr>
          <w:rFonts w:cstheme="minorHAnsi"/>
          <w:szCs w:val="22"/>
        </w:rPr>
        <w:t xml:space="preserve">være ledsaget af en begrundelse, </w:t>
      </w:r>
      <w:r w:rsidR="0047738A" w:rsidRPr="000D4513">
        <w:rPr>
          <w:rFonts w:cstheme="minorHAnsi"/>
          <w:szCs w:val="22"/>
        </w:rPr>
        <w:t>ligesom</w:t>
      </w:r>
      <w:r w:rsidRPr="000D4513">
        <w:rPr>
          <w:rFonts w:cstheme="minorHAnsi"/>
          <w:szCs w:val="22"/>
        </w:rPr>
        <w:t xml:space="preserve"> den, der har fået en afgørelse meddelt mundtligt, kan forlange at få en skriftlig begrundelse, medmindre den pågældende har fået fuldt ud medhold.</w:t>
      </w:r>
    </w:p>
    <w:p w14:paraId="17BA06D5" w14:textId="361F938B" w:rsidR="0047738A" w:rsidRPr="000D4513" w:rsidRDefault="0047738A" w:rsidP="009B0CB9">
      <w:pPr>
        <w:rPr>
          <w:rFonts w:cstheme="minorHAnsi"/>
          <w:szCs w:val="22"/>
        </w:rPr>
      </w:pPr>
    </w:p>
    <w:p w14:paraId="746C1781" w14:textId="04E77D87" w:rsidR="0047738A" w:rsidRPr="000D4513" w:rsidRDefault="0047738A" w:rsidP="009B0CB9">
      <w:pPr>
        <w:rPr>
          <w:rFonts w:cstheme="minorHAnsi"/>
          <w:szCs w:val="22"/>
        </w:rPr>
      </w:pPr>
      <w:r w:rsidRPr="000D4513">
        <w:rPr>
          <w:rFonts w:cstheme="minorHAnsi"/>
          <w:szCs w:val="22"/>
        </w:rPr>
        <w:t xml:space="preserve">Det er ministeriets opfattelse, at det fagskøn, som ligger til grund for de enkelte skolelederes konkrete beslutninger i forhold til at iværksætte eller ikke iværksætte lovens handlepligter vedrørende mobning, er </w:t>
      </w:r>
      <w:r w:rsidR="00F76AA5" w:rsidRPr="000D4513">
        <w:rPr>
          <w:rFonts w:cstheme="minorHAnsi"/>
          <w:szCs w:val="22"/>
        </w:rPr>
        <w:t>udtryk</w:t>
      </w:r>
      <w:r w:rsidRPr="000D4513">
        <w:rPr>
          <w:rFonts w:cstheme="minorHAnsi"/>
          <w:szCs w:val="22"/>
        </w:rPr>
        <w:t xml:space="preserve"> </w:t>
      </w:r>
      <w:r w:rsidR="00484ABC">
        <w:rPr>
          <w:rFonts w:cstheme="minorHAnsi"/>
          <w:szCs w:val="22"/>
        </w:rPr>
        <w:t xml:space="preserve">for en </w:t>
      </w:r>
      <w:r w:rsidRPr="000D4513">
        <w:rPr>
          <w:rFonts w:cstheme="minorHAnsi"/>
          <w:szCs w:val="22"/>
        </w:rPr>
        <w:t xml:space="preserve">forvaltningsafgørelse. </w:t>
      </w:r>
    </w:p>
    <w:p w14:paraId="3C05E81B" w14:textId="77777777" w:rsidR="00996005" w:rsidRPr="000D4513" w:rsidRDefault="00996005" w:rsidP="009B0CB9">
      <w:pPr>
        <w:rPr>
          <w:rFonts w:cstheme="minorHAnsi"/>
          <w:szCs w:val="22"/>
        </w:rPr>
      </w:pPr>
    </w:p>
    <w:p w14:paraId="7142D7DE" w14:textId="64D04863" w:rsidR="00B75D2B" w:rsidRPr="000D4513" w:rsidRDefault="00996005" w:rsidP="00E241C6">
      <w:pPr>
        <w:pStyle w:val="Brdtekst"/>
      </w:pPr>
      <w:r w:rsidRPr="000D4513">
        <w:t>Ministeriet er opmærksomt på, at ikke alle uddannelsessteder er omfattet af forvaltningsloven. M</w:t>
      </w:r>
      <w:r w:rsidR="00FE184F" w:rsidRPr="000D4513">
        <w:t xml:space="preserve">inisteriet </w:t>
      </w:r>
      <w:r w:rsidRPr="000D4513">
        <w:t xml:space="preserve">finder dog </w:t>
      </w:r>
      <w:r w:rsidR="00FE184F" w:rsidRPr="000D4513">
        <w:t xml:space="preserve">anledning til at </w:t>
      </w:r>
      <w:r w:rsidR="00EC69E7" w:rsidRPr="000D4513">
        <w:t xml:space="preserve">understrege, at </w:t>
      </w:r>
      <w:r w:rsidRPr="000D4513">
        <w:t xml:space="preserve">det </w:t>
      </w:r>
      <w:r w:rsidR="00FE184F" w:rsidRPr="000D4513">
        <w:t>også</w:t>
      </w:r>
      <w:r w:rsidRPr="000D4513">
        <w:t xml:space="preserve"> for</w:t>
      </w:r>
      <w:r w:rsidR="00FE184F" w:rsidRPr="000D4513">
        <w:t xml:space="preserve"> </w:t>
      </w:r>
      <w:r w:rsidRPr="000D4513">
        <w:t xml:space="preserve">sådanne </w:t>
      </w:r>
      <w:r w:rsidR="00FE184F" w:rsidRPr="000D4513">
        <w:t>uddannelsessteder</w:t>
      </w:r>
      <w:r w:rsidR="00EC69E7" w:rsidRPr="000D4513">
        <w:t xml:space="preserve"> generelt </w:t>
      </w:r>
      <w:r w:rsidRPr="000D4513">
        <w:t xml:space="preserve">gælder, at handlinger, som er af betydning for elever, bør </w:t>
      </w:r>
      <w:r w:rsidR="0047738A" w:rsidRPr="000D4513">
        <w:t>være</w:t>
      </w:r>
      <w:r w:rsidRPr="000D4513">
        <w:t xml:space="preserve"> </w:t>
      </w:r>
      <w:r w:rsidR="0047738A" w:rsidRPr="000D4513">
        <w:t>vel</w:t>
      </w:r>
      <w:r w:rsidR="00EC69E7" w:rsidRPr="000D4513">
        <w:t>dokumentere</w:t>
      </w:r>
      <w:r w:rsidR="0047738A" w:rsidRPr="000D4513">
        <w:t>de</w:t>
      </w:r>
      <w:r w:rsidRPr="000D4513">
        <w:t>.</w:t>
      </w:r>
    </w:p>
    <w:p w14:paraId="4C00E267" w14:textId="183204B1" w:rsidR="00996005" w:rsidRPr="000D4513" w:rsidRDefault="00996005" w:rsidP="00E241C6">
      <w:pPr>
        <w:pStyle w:val="Brdtekst"/>
      </w:pPr>
    </w:p>
    <w:p w14:paraId="4922F953" w14:textId="6A89710F" w:rsidR="00F76AA5" w:rsidRPr="000D4513" w:rsidRDefault="00996005" w:rsidP="00F76AA5">
      <w:pPr>
        <w:pStyle w:val="Brdtekst"/>
      </w:pPr>
      <w:r w:rsidRPr="000D4513">
        <w:t xml:space="preserve">Der indgår i både Epinions evaluering og i </w:t>
      </w:r>
      <w:r w:rsidR="0047738A" w:rsidRPr="000D4513">
        <w:t>høringssvarene omtale af, at der i klagesager ofte</w:t>
      </w:r>
      <w:r w:rsidRPr="000D4513">
        <w:t xml:space="preserve"> mangler skriftlig dokumentation for, hvad inst</w:t>
      </w:r>
      <w:r w:rsidR="0047738A" w:rsidRPr="000D4513">
        <w:t>itutionen har gjort og hvorfor, hvilket vanskeliggør muligheden for</w:t>
      </w:r>
      <w:r w:rsidR="00484ABC">
        <w:t>,</w:t>
      </w:r>
      <w:r w:rsidR="0047738A" w:rsidRPr="000D4513">
        <w:t xml:space="preserve"> at DCUM kan træffe </w:t>
      </w:r>
      <w:r w:rsidRPr="000D4513">
        <w:t>afgørelse</w:t>
      </w:r>
      <w:r w:rsidR="0047738A" w:rsidRPr="000D4513">
        <w:t xml:space="preserve"> og </w:t>
      </w:r>
      <w:r w:rsidRPr="000D4513">
        <w:t xml:space="preserve">kan betyde, at </w:t>
      </w:r>
      <w:r w:rsidR="0047738A" w:rsidRPr="000D4513">
        <w:t xml:space="preserve">DCUM </w:t>
      </w:r>
      <w:r w:rsidR="00336D5E">
        <w:t xml:space="preserve">efter omstændighederne </w:t>
      </w:r>
      <w:r w:rsidR="0047738A" w:rsidRPr="000D4513">
        <w:t>må</w:t>
      </w:r>
      <w:r w:rsidRPr="000D4513">
        <w:t xml:space="preserve"> afvise en sag</w:t>
      </w:r>
      <w:r w:rsidR="0047738A" w:rsidRPr="000D4513">
        <w:t>.</w:t>
      </w:r>
      <w:r w:rsidR="00F76AA5" w:rsidRPr="000D4513">
        <w:t xml:space="preserve"> DCUM vil dog i disse til</w:t>
      </w:r>
      <w:r w:rsidR="00484ABC">
        <w:t>fælde</w:t>
      </w:r>
      <w:r w:rsidR="00F76AA5" w:rsidRPr="000D4513">
        <w:t xml:space="preserve"> kunne påtale manglende god forvaltningsskik m.v., som har fået betydning for sagens udfald.</w:t>
      </w:r>
    </w:p>
    <w:p w14:paraId="174AFD92" w14:textId="10446B6C" w:rsidR="0047738A" w:rsidRPr="000D4513" w:rsidRDefault="0047738A" w:rsidP="00996005">
      <w:pPr>
        <w:pStyle w:val="Brdtekst"/>
      </w:pPr>
    </w:p>
    <w:p w14:paraId="1AF268EC" w14:textId="3801BE78" w:rsidR="00F76AA5" w:rsidRPr="000D4513" w:rsidRDefault="0047738A" w:rsidP="00F76AA5">
      <w:pPr>
        <w:pStyle w:val="Brdtekst"/>
      </w:pPr>
      <w:r w:rsidRPr="000D4513">
        <w:t xml:space="preserve">Ministeriet skal medgive, at denne </w:t>
      </w:r>
      <w:r w:rsidR="00F76AA5" w:rsidRPr="000D4513">
        <w:t>model er indskrevet i bemærkningerne til lovforslaget bag ændringsloven. Det fremgår her, at ved uenighed mellem uddannelsesstedet og en elev eller dennes forældremyndighedsindehavere om, hvorvidt der er tale om mobning eller ej, skal DCUM lægge uddannelsesstedets beskrivelse af fakta til grund, medmindre eleven eller forældremyndighedsindehaverne kan dokumentere, at fakta ikke er sandfærdigt beskrevet. Det er endvidere anført, at dersom en sådan dokumentation ikke findes, vil DCUM skulle afvise klagen.</w:t>
      </w:r>
    </w:p>
    <w:p w14:paraId="6EC0B90F" w14:textId="77777777" w:rsidR="00F76AA5" w:rsidRPr="000D4513" w:rsidRDefault="00F76AA5" w:rsidP="00996005">
      <w:pPr>
        <w:pStyle w:val="Brdtekst"/>
      </w:pPr>
    </w:p>
    <w:p w14:paraId="4DE952B8" w14:textId="35F4C4CE" w:rsidR="00F76AA5" w:rsidRPr="000D4513" w:rsidRDefault="00F76AA5" w:rsidP="00E241C6">
      <w:pPr>
        <w:pStyle w:val="Brdtekst"/>
      </w:pPr>
      <w:r w:rsidRPr="000D4513">
        <w:t>Minister</w:t>
      </w:r>
      <w:r w:rsidR="00C9309D">
        <w:t>i</w:t>
      </w:r>
      <w:r w:rsidRPr="000D4513">
        <w:t xml:space="preserve">et finder, at der kan være grund til at se nærmere på denne model i de videre overvejelser, herunder i regi </w:t>
      </w:r>
      <w:proofErr w:type="gramStart"/>
      <w:r w:rsidRPr="000D4513">
        <w:t xml:space="preserve">af </w:t>
      </w:r>
      <w:r w:rsidR="00C9309D">
        <w:t xml:space="preserve"> de</w:t>
      </w:r>
      <w:proofErr w:type="gramEnd"/>
      <w:r w:rsidR="00C9309D">
        <w:t xml:space="preserve"> anbefalede videre </w:t>
      </w:r>
      <w:r w:rsidRPr="000D4513">
        <w:t>overvejelser om selve begrebet mobning, mobbesyn og øget fokus i bestemmelserne på elevens perspektiv og oplevelser.</w:t>
      </w:r>
    </w:p>
    <w:p w14:paraId="7A8658CC" w14:textId="77777777" w:rsidR="00F76AA5" w:rsidRPr="000D4513" w:rsidRDefault="00F76AA5" w:rsidP="00E241C6">
      <w:pPr>
        <w:pStyle w:val="Brdtekst"/>
      </w:pPr>
    </w:p>
    <w:p w14:paraId="07B5D1DC" w14:textId="581780E1" w:rsidR="00996005" w:rsidRPr="000D4513" w:rsidRDefault="00F76AA5" w:rsidP="00E241C6">
      <w:pPr>
        <w:pStyle w:val="Brdtekst"/>
      </w:pPr>
      <w:r w:rsidRPr="000D4513">
        <w:t>Ministeriet finder ikke anledning til at foreslå ændringer i</w:t>
      </w:r>
      <w:r w:rsidR="006B2D7C" w:rsidRPr="000D4513">
        <w:t xml:space="preserve"> den gældende ordning</w:t>
      </w:r>
      <w:r w:rsidRPr="000D4513">
        <w:t xml:space="preserve">, </w:t>
      </w:r>
      <w:r w:rsidR="006B2D7C" w:rsidRPr="000D4513">
        <w:t xml:space="preserve">hvorefter </w:t>
      </w:r>
      <w:r w:rsidRPr="000D4513">
        <w:t>s</w:t>
      </w:r>
      <w:r w:rsidR="0047738A" w:rsidRPr="000D4513">
        <w:t xml:space="preserve">agsbehandlingen vil skulle ske på skriftligt grundlag. </w:t>
      </w:r>
      <w:r w:rsidRPr="000D4513">
        <w:t xml:space="preserve">Organiseringen af </w:t>
      </w:r>
      <w:r w:rsidR="0047738A" w:rsidRPr="000D4513">
        <w:t>DCUM</w:t>
      </w:r>
      <w:r w:rsidR="006B2D7C" w:rsidRPr="000D4513">
        <w:t xml:space="preserve"> og klageordningens sigte</w:t>
      </w:r>
      <w:r w:rsidRPr="000D4513">
        <w:t xml:space="preserve"> har e</w:t>
      </w:r>
      <w:r w:rsidR="006B2D7C" w:rsidRPr="000D4513">
        <w:t>fter ministeriets opfattelse ikke en k</w:t>
      </w:r>
      <w:r w:rsidRPr="000D4513">
        <w:t xml:space="preserve">arakter, som </w:t>
      </w:r>
      <w:r w:rsidR="006B2D7C" w:rsidRPr="000D4513">
        <w:t>tilsiger et behov for udpræget mundtlighed som led i klagesager</w:t>
      </w:r>
      <w:r w:rsidRPr="000D4513">
        <w:t>.</w:t>
      </w:r>
    </w:p>
    <w:p w14:paraId="3869BA6A" w14:textId="77777777" w:rsidR="004A2E11" w:rsidRPr="000D4513" w:rsidRDefault="004A2E11" w:rsidP="005B5925"/>
    <w:p w14:paraId="51DB764C" w14:textId="2E919A3D" w:rsidR="00A134DE" w:rsidRPr="000D4513" w:rsidRDefault="00A134DE" w:rsidP="00A134DE">
      <w:pPr>
        <w:pStyle w:val="Brdtekst"/>
        <w:rPr>
          <w:i/>
          <w:u w:val="single"/>
        </w:rPr>
      </w:pPr>
      <w:r w:rsidRPr="000D4513">
        <w:rPr>
          <w:i/>
          <w:u w:val="single"/>
        </w:rPr>
        <w:t>Ad pkt. 10</w:t>
      </w:r>
    </w:p>
    <w:p w14:paraId="633F3D4A" w14:textId="48674307" w:rsidR="006F0648" w:rsidRPr="000D4513" w:rsidRDefault="006F0648" w:rsidP="006F0648">
      <w:pPr>
        <w:pStyle w:val="Brdtekst"/>
        <w:rPr>
          <w:szCs w:val="22"/>
        </w:rPr>
      </w:pPr>
      <w:r w:rsidRPr="000D4513">
        <w:rPr>
          <w:szCs w:val="22"/>
        </w:rPr>
        <w:lastRenderedPageBreak/>
        <w:t xml:space="preserve">Med hensyn til spørgsmålet om sanktionsmuligheder over for et uddannelsessted ved utilstrækkelig efterlevelse af loven m.v. finder ministeriet i udgangspunktet, at der i de gældende regler allerede findes et adækvat reaktionsregime, som i øvrigt ikke – som det bl.a. har været fremført </w:t>
      </w:r>
      <w:r w:rsidR="00FF0A31" w:rsidRPr="000D4513">
        <w:rPr>
          <w:szCs w:val="22"/>
        </w:rPr>
        <w:t xml:space="preserve">i høringen </w:t>
      </w:r>
      <w:r w:rsidRPr="000D4513">
        <w:rPr>
          <w:szCs w:val="22"/>
        </w:rPr>
        <w:t>– gør fors</w:t>
      </w:r>
      <w:r w:rsidR="003C4ED2" w:rsidRPr="000D4513">
        <w:rPr>
          <w:szCs w:val="22"/>
        </w:rPr>
        <w:t>ke</w:t>
      </w:r>
      <w:r w:rsidRPr="000D4513">
        <w:rPr>
          <w:szCs w:val="22"/>
        </w:rPr>
        <w:t xml:space="preserve">l på </w:t>
      </w:r>
      <w:r w:rsidR="003C4ED2" w:rsidRPr="000D4513">
        <w:rPr>
          <w:szCs w:val="22"/>
        </w:rPr>
        <w:t>kommunale</w:t>
      </w:r>
      <w:r w:rsidRPr="000D4513">
        <w:rPr>
          <w:szCs w:val="22"/>
        </w:rPr>
        <w:t xml:space="preserve"> </w:t>
      </w:r>
      <w:r w:rsidR="003C4ED2" w:rsidRPr="000D4513">
        <w:rPr>
          <w:szCs w:val="22"/>
        </w:rPr>
        <w:t xml:space="preserve">uddannelsessteder </w:t>
      </w:r>
      <w:r w:rsidRPr="000D4513">
        <w:rPr>
          <w:szCs w:val="22"/>
        </w:rPr>
        <w:t xml:space="preserve">og selvejende </w:t>
      </w:r>
      <w:r w:rsidR="003C4ED2" w:rsidRPr="000D4513">
        <w:rPr>
          <w:szCs w:val="22"/>
        </w:rPr>
        <w:t xml:space="preserve">uddannelsessteder ud over den forskel, </w:t>
      </w:r>
      <w:r w:rsidR="00FF0A31" w:rsidRPr="000D4513">
        <w:rPr>
          <w:szCs w:val="22"/>
        </w:rPr>
        <w:t>som</w:t>
      </w:r>
      <w:r w:rsidR="003C4ED2" w:rsidRPr="000D4513">
        <w:rPr>
          <w:szCs w:val="22"/>
        </w:rPr>
        <w:t xml:space="preserve"> er</w:t>
      </w:r>
      <w:r w:rsidR="00FF0A31" w:rsidRPr="000D4513">
        <w:rPr>
          <w:szCs w:val="22"/>
        </w:rPr>
        <w:t xml:space="preserve"> en</w:t>
      </w:r>
      <w:r w:rsidR="003C4ED2" w:rsidRPr="000D4513">
        <w:rPr>
          <w:szCs w:val="22"/>
        </w:rPr>
        <w:t xml:space="preserve"> </w:t>
      </w:r>
      <w:r w:rsidR="00FF0A31" w:rsidRPr="000D4513">
        <w:rPr>
          <w:szCs w:val="22"/>
        </w:rPr>
        <w:t>natulig følge af den forskellighed i</w:t>
      </w:r>
      <w:r w:rsidR="003C4ED2" w:rsidRPr="000D4513">
        <w:rPr>
          <w:szCs w:val="22"/>
        </w:rPr>
        <w:t xml:space="preserve"> regulering</w:t>
      </w:r>
      <w:r w:rsidR="00FF0A31" w:rsidRPr="000D4513">
        <w:rPr>
          <w:szCs w:val="22"/>
        </w:rPr>
        <w:t>sform</w:t>
      </w:r>
      <w:r w:rsidR="003C4ED2" w:rsidRPr="000D4513">
        <w:rPr>
          <w:szCs w:val="22"/>
        </w:rPr>
        <w:t>, der gælder fo</w:t>
      </w:r>
      <w:r w:rsidR="005A4E51" w:rsidRPr="000D4513">
        <w:rPr>
          <w:szCs w:val="22"/>
        </w:rPr>
        <w:t>r de enkelte uddannelsessteder</w:t>
      </w:r>
      <w:r w:rsidRPr="000D4513">
        <w:rPr>
          <w:szCs w:val="22"/>
        </w:rPr>
        <w:t>.</w:t>
      </w:r>
    </w:p>
    <w:p w14:paraId="571EE1B9" w14:textId="4B9502FF" w:rsidR="006F0648" w:rsidRPr="000D4513" w:rsidRDefault="006F0648" w:rsidP="006F0648">
      <w:pPr>
        <w:pStyle w:val="Brdtekst"/>
        <w:rPr>
          <w:szCs w:val="22"/>
        </w:rPr>
      </w:pPr>
    </w:p>
    <w:p w14:paraId="2EA0D4D1" w14:textId="5BDA9F88" w:rsidR="006F0648" w:rsidRPr="000D4513" w:rsidRDefault="006F0648" w:rsidP="006F0648">
      <w:pPr>
        <w:pStyle w:val="Brdtekst"/>
        <w:rPr>
          <w:szCs w:val="22"/>
        </w:rPr>
      </w:pPr>
      <w:r w:rsidRPr="000D4513">
        <w:rPr>
          <w:szCs w:val="22"/>
        </w:rPr>
        <w:t>DCUM udstede</w:t>
      </w:r>
      <w:r w:rsidR="003C4ED2" w:rsidRPr="000D4513">
        <w:rPr>
          <w:szCs w:val="22"/>
        </w:rPr>
        <w:t>r</w:t>
      </w:r>
      <w:r w:rsidRPr="000D4513">
        <w:rPr>
          <w:szCs w:val="22"/>
        </w:rPr>
        <w:t xml:space="preserve"> </w:t>
      </w:r>
      <w:r w:rsidR="003C4ED2" w:rsidRPr="000D4513">
        <w:rPr>
          <w:szCs w:val="22"/>
        </w:rPr>
        <w:t xml:space="preserve">således </w:t>
      </w:r>
      <w:r w:rsidRPr="000D4513">
        <w:rPr>
          <w:szCs w:val="22"/>
        </w:rPr>
        <w:t>påbud</w:t>
      </w:r>
      <w:r w:rsidR="003C4ED2" w:rsidRPr="000D4513">
        <w:rPr>
          <w:szCs w:val="22"/>
        </w:rPr>
        <w:t xml:space="preserve"> til uddannelsessteder</w:t>
      </w:r>
      <w:r w:rsidR="005A4E51" w:rsidRPr="000D4513">
        <w:rPr>
          <w:szCs w:val="22"/>
        </w:rPr>
        <w:t>, der ikke</w:t>
      </w:r>
      <w:r w:rsidR="003C4ED2" w:rsidRPr="000D4513">
        <w:rPr>
          <w:szCs w:val="22"/>
        </w:rPr>
        <w:t xml:space="preserve"> opfylder en </w:t>
      </w:r>
      <w:r w:rsidRPr="000D4513">
        <w:rPr>
          <w:szCs w:val="22"/>
        </w:rPr>
        <w:t>handle</w:t>
      </w:r>
      <w:r w:rsidR="003C4ED2" w:rsidRPr="000D4513">
        <w:rPr>
          <w:szCs w:val="22"/>
        </w:rPr>
        <w:t>plig</w:t>
      </w:r>
      <w:r w:rsidRPr="000D4513">
        <w:rPr>
          <w:szCs w:val="22"/>
        </w:rPr>
        <w:t>t, eller hvor handlingerne er utilstrækkelige, f</w:t>
      </w:r>
      <w:r w:rsidR="00484ABC">
        <w:rPr>
          <w:szCs w:val="22"/>
        </w:rPr>
        <w:t>x</w:t>
      </w:r>
      <w:r w:rsidRPr="000D4513">
        <w:rPr>
          <w:szCs w:val="22"/>
        </w:rPr>
        <w:t xml:space="preserve"> hvis en handlingsplan efter DCUMs vurdering ikke er tilstrækkelig til at løse problemerne. For kommunale uddannelsessteder rettes påbud mod kommunalbestyrelsen. For selvejende uddannelsessteder mod bestyrelsen for uddannelsesstedet.</w:t>
      </w:r>
    </w:p>
    <w:p w14:paraId="50FFD39F" w14:textId="2D9ABA47" w:rsidR="006F0648" w:rsidRPr="000D4513" w:rsidRDefault="006F0648" w:rsidP="003C4ED2">
      <w:pPr>
        <w:pStyle w:val="Brdtekst"/>
        <w:rPr>
          <w:szCs w:val="22"/>
        </w:rPr>
      </w:pPr>
    </w:p>
    <w:p w14:paraId="5BF1DCE3" w14:textId="67C6A5A3" w:rsidR="003C4ED2" w:rsidRPr="000D4513" w:rsidRDefault="003C4ED2" w:rsidP="003C4ED2">
      <w:pPr>
        <w:pStyle w:val="Brdtekst"/>
        <w:rPr>
          <w:szCs w:val="22"/>
        </w:rPr>
      </w:pPr>
      <w:r w:rsidRPr="000D4513">
        <w:rPr>
          <w:szCs w:val="22"/>
        </w:rPr>
        <w:t xml:space="preserve">Efterlever et kommunalt uddannelsessted ikke et påbud, skal </w:t>
      </w:r>
      <w:r w:rsidR="0066467B" w:rsidRPr="000D4513">
        <w:rPr>
          <w:szCs w:val="22"/>
        </w:rPr>
        <w:t>Ankestyrelsen</w:t>
      </w:r>
      <w:r w:rsidR="005A4E51" w:rsidRPr="000D4513">
        <w:rPr>
          <w:szCs w:val="22"/>
        </w:rPr>
        <w:t xml:space="preserve"> på DCUMs anmodning</w:t>
      </w:r>
      <w:r w:rsidRPr="000D4513">
        <w:rPr>
          <w:szCs w:val="22"/>
        </w:rPr>
        <w:t xml:space="preserve"> påse, at vedkommende kommunalbestyrelse efterlever påbuddet. </w:t>
      </w:r>
      <w:r w:rsidR="0066467B" w:rsidRPr="000D4513">
        <w:rPr>
          <w:szCs w:val="22"/>
        </w:rPr>
        <w:t>Ankestyrelsen</w:t>
      </w:r>
      <w:r w:rsidRPr="000D4513">
        <w:rPr>
          <w:szCs w:val="22"/>
        </w:rPr>
        <w:t xml:space="preserve"> har i den forbindelse mulighed for at træffe afgørelse om tvangsbøder til de medlemmer af kommunalbestyrelsen, der er ansvarlige for, at kommunalbestyrelsen undlader at efterleve påbuddet.</w:t>
      </w:r>
    </w:p>
    <w:p w14:paraId="1198E86C" w14:textId="77777777" w:rsidR="003C4ED2" w:rsidRPr="000D4513" w:rsidRDefault="003C4ED2" w:rsidP="003C4ED2">
      <w:pPr>
        <w:pStyle w:val="Brdtekst"/>
        <w:rPr>
          <w:szCs w:val="22"/>
        </w:rPr>
      </w:pPr>
    </w:p>
    <w:p w14:paraId="53C6CB1F" w14:textId="6D270BE1" w:rsidR="003C4ED2" w:rsidRPr="000D4513" w:rsidRDefault="003C4ED2" w:rsidP="003C4ED2">
      <w:pPr>
        <w:pStyle w:val="Brdtekst"/>
        <w:rPr>
          <w:szCs w:val="22"/>
        </w:rPr>
      </w:pPr>
      <w:r w:rsidRPr="000D4513">
        <w:rPr>
          <w:szCs w:val="22"/>
        </w:rPr>
        <w:t xml:space="preserve">Efterlever et selvejende uddannelsessted ikke et udstedt påbud, vil undervisningsministeren </w:t>
      </w:r>
      <w:r w:rsidR="005A4E51" w:rsidRPr="000D4513">
        <w:rPr>
          <w:szCs w:val="22"/>
        </w:rPr>
        <w:t xml:space="preserve">på DCUMs anmodning </w:t>
      </w:r>
      <w:r w:rsidRPr="000D4513">
        <w:rPr>
          <w:szCs w:val="22"/>
        </w:rPr>
        <w:t>kunne tilbageholde tilskud til uddannelsesstedet, indtil påbud</w:t>
      </w:r>
      <w:r w:rsidR="005A4E51" w:rsidRPr="000D4513">
        <w:rPr>
          <w:szCs w:val="22"/>
        </w:rPr>
        <w:t>det</w:t>
      </w:r>
      <w:r w:rsidRPr="000D4513">
        <w:rPr>
          <w:szCs w:val="22"/>
        </w:rPr>
        <w:t xml:space="preserve"> er efterlevet, eller lade tilskud helt bortfalde.</w:t>
      </w:r>
    </w:p>
    <w:p w14:paraId="23E8EFF0" w14:textId="55E10038" w:rsidR="003C4ED2" w:rsidRPr="000D4513" w:rsidRDefault="003C4ED2" w:rsidP="003C4ED2">
      <w:pPr>
        <w:pStyle w:val="Brdtekst"/>
        <w:rPr>
          <w:szCs w:val="22"/>
        </w:rPr>
      </w:pPr>
    </w:p>
    <w:p w14:paraId="6B5F5FCF" w14:textId="18B81B65" w:rsidR="003C4ED2" w:rsidRPr="000D4513" w:rsidRDefault="003C4ED2" w:rsidP="003C4ED2">
      <w:pPr>
        <w:pStyle w:val="Brdtekst"/>
        <w:rPr>
          <w:szCs w:val="22"/>
        </w:rPr>
      </w:pPr>
      <w:r w:rsidRPr="000D4513">
        <w:rPr>
          <w:szCs w:val="22"/>
        </w:rPr>
        <w:t>Ministeriet har ikke kendskab til, at disse muligheder hidtil har været benyttet</w:t>
      </w:r>
      <w:r w:rsidR="00F76AA5" w:rsidRPr="000D4513">
        <w:rPr>
          <w:szCs w:val="22"/>
        </w:rPr>
        <w:t xml:space="preserve">, </w:t>
      </w:r>
      <w:r w:rsidR="00336D5E">
        <w:rPr>
          <w:szCs w:val="22"/>
        </w:rPr>
        <w:t>og</w:t>
      </w:r>
      <w:r w:rsidR="00336D5E" w:rsidRPr="000D4513">
        <w:rPr>
          <w:szCs w:val="22"/>
        </w:rPr>
        <w:t xml:space="preserve"> </w:t>
      </w:r>
      <w:r w:rsidR="00F76AA5" w:rsidRPr="000D4513">
        <w:rPr>
          <w:szCs w:val="22"/>
        </w:rPr>
        <w:t xml:space="preserve">ser umiddelbart </w:t>
      </w:r>
      <w:r w:rsidR="005A4E51" w:rsidRPr="000D4513">
        <w:rPr>
          <w:szCs w:val="22"/>
        </w:rPr>
        <w:t>ikke behov for</w:t>
      </w:r>
      <w:r w:rsidR="00F76AA5" w:rsidRPr="000D4513">
        <w:rPr>
          <w:szCs w:val="22"/>
        </w:rPr>
        <w:t xml:space="preserve"> ændringer heri</w:t>
      </w:r>
      <w:r w:rsidRPr="000D4513">
        <w:rPr>
          <w:szCs w:val="22"/>
        </w:rPr>
        <w:t xml:space="preserve">.   </w:t>
      </w:r>
    </w:p>
    <w:p w14:paraId="31D4293D" w14:textId="5DBD6288" w:rsidR="00356DCA" w:rsidRPr="000D4513" w:rsidRDefault="00356DCA" w:rsidP="007061AD">
      <w:pPr>
        <w:rPr>
          <w:rFonts w:eastAsia="Times New Roman" w:cs="Times New Roman"/>
          <w:color w:val="000000"/>
          <w:szCs w:val="22"/>
          <w:lang w:eastAsia="da-DK"/>
        </w:rPr>
      </w:pPr>
    </w:p>
    <w:p w14:paraId="0A4D1B54" w14:textId="35D4CB54" w:rsidR="00A134DE" w:rsidRPr="000D4513" w:rsidRDefault="00A134DE" w:rsidP="00A134DE">
      <w:pPr>
        <w:pStyle w:val="Brdtekst"/>
        <w:rPr>
          <w:i/>
          <w:u w:val="single"/>
        </w:rPr>
      </w:pPr>
      <w:r w:rsidRPr="000D4513">
        <w:rPr>
          <w:i/>
          <w:u w:val="single"/>
        </w:rPr>
        <w:t>Ad pkt. 11</w:t>
      </w:r>
    </w:p>
    <w:p w14:paraId="4579D58C" w14:textId="0DFFB106" w:rsidR="00A134DE" w:rsidRPr="000D4513" w:rsidRDefault="00A134DE" w:rsidP="00A134DE">
      <w:pPr>
        <w:rPr>
          <w:szCs w:val="22"/>
        </w:rPr>
      </w:pPr>
      <w:r w:rsidRPr="000D4513">
        <w:rPr>
          <w:szCs w:val="22"/>
        </w:rPr>
        <w:t xml:space="preserve">Ministeriet er ikke </w:t>
      </w:r>
      <w:r w:rsidR="00336D5E">
        <w:rPr>
          <w:szCs w:val="22"/>
        </w:rPr>
        <w:t>enigt i</w:t>
      </w:r>
      <w:r w:rsidRPr="000D4513">
        <w:rPr>
          <w:szCs w:val="22"/>
        </w:rPr>
        <w:t>, at anbefalingerne om direkte offentliggørelse af afgørelse</w:t>
      </w:r>
      <w:r w:rsidR="00484ABC">
        <w:rPr>
          <w:szCs w:val="22"/>
        </w:rPr>
        <w:t>r</w:t>
      </w:r>
      <w:r w:rsidRPr="000D4513">
        <w:rPr>
          <w:szCs w:val="22"/>
        </w:rPr>
        <w:t xml:space="preserve"> på diverse hjemmesider vil være en hensigtsmæssigvej at gå. Ikke mindst henset til, at emnet her er mobning, er "gabesto</w:t>
      </w:r>
      <w:r w:rsidR="00FF0A31" w:rsidRPr="000D4513">
        <w:rPr>
          <w:szCs w:val="22"/>
        </w:rPr>
        <w:t>ksordninger" næppe det rette v</w:t>
      </w:r>
      <w:r w:rsidRPr="000D4513">
        <w:rPr>
          <w:szCs w:val="22"/>
        </w:rPr>
        <w:t>ærktøj.</w:t>
      </w:r>
    </w:p>
    <w:p w14:paraId="5E81799F" w14:textId="2D0A1BA0" w:rsidR="00A134DE" w:rsidRPr="000D4513" w:rsidRDefault="00A134DE" w:rsidP="00A134DE">
      <w:pPr>
        <w:rPr>
          <w:szCs w:val="22"/>
        </w:rPr>
      </w:pPr>
    </w:p>
    <w:p w14:paraId="77D29FAA" w14:textId="62F2EA81" w:rsidR="00A134DE" w:rsidRPr="000D4513" w:rsidRDefault="00A134DE" w:rsidP="00A134DE">
      <w:pPr>
        <w:rPr>
          <w:rFonts w:eastAsia="Times New Roman" w:cs="Times New Roman"/>
          <w:color w:val="000000"/>
          <w:szCs w:val="22"/>
          <w:lang w:eastAsia="da-DK"/>
        </w:rPr>
      </w:pPr>
      <w:r w:rsidRPr="000D4513">
        <w:rPr>
          <w:szCs w:val="22"/>
        </w:rPr>
        <w:t>Ministeriet vil se positivt på, hvis DCUM</w:t>
      </w:r>
      <w:r w:rsidR="002A278B" w:rsidRPr="000D4513">
        <w:rPr>
          <w:szCs w:val="22"/>
        </w:rPr>
        <w:t xml:space="preserve"> besluttede, at centrets</w:t>
      </w:r>
      <w:r w:rsidRPr="000D4513">
        <w:rPr>
          <w:szCs w:val="22"/>
        </w:rPr>
        <w:t xml:space="preserve"> årsrapporter</w:t>
      </w:r>
      <w:r w:rsidR="006F0648" w:rsidRPr="000D4513">
        <w:rPr>
          <w:szCs w:val="22"/>
        </w:rPr>
        <w:t xml:space="preserve"> også </w:t>
      </w:r>
      <w:r w:rsidR="002A278B" w:rsidRPr="000D4513">
        <w:rPr>
          <w:szCs w:val="22"/>
        </w:rPr>
        <w:t>skulle</w:t>
      </w:r>
      <w:r w:rsidR="00FF0A31" w:rsidRPr="000D4513">
        <w:rPr>
          <w:szCs w:val="22"/>
        </w:rPr>
        <w:t xml:space="preserve"> indeholde</w:t>
      </w:r>
      <w:r w:rsidR="006F0648" w:rsidRPr="000D4513">
        <w:rPr>
          <w:szCs w:val="22"/>
        </w:rPr>
        <w:t xml:space="preserve"> en kvalitativ </w:t>
      </w:r>
      <w:r w:rsidR="00FF0A31" w:rsidRPr="000D4513">
        <w:rPr>
          <w:szCs w:val="22"/>
        </w:rPr>
        <w:t xml:space="preserve">gennemgang og </w:t>
      </w:r>
      <w:r w:rsidR="006F0648" w:rsidRPr="000D4513">
        <w:rPr>
          <w:szCs w:val="22"/>
        </w:rPr>
        <w:t>analyse af det forløbne års klagesager og afgørelse</w:t>
      </w:r>
      <w:r w:rsidR="00FF0A31" w:rsidRPr="000D4513">
        <w:rPr>
          <w:szCs w:val="22"/>
        </w:rPr>
        <w:t>r</w:t>
      </w:r>
      <w:r w:rsidR="006F0648" w:rsidRPr="000D4513">
        <w:rPr>
          <w:szCs w:val="22"/>
        </w:rPr>
        <w:t xml:space="preserve"> på samme måde, som det er kendt </w:t>
      </w:r>
      <w:r w:rsidR="00FF0A31" w:rsidRPr="000D4513">
        <w:rPr>
          <w:szCs w:val="22"/>
        </w:rPr>
        <w:t>i</w:t>
      </w:r>
      <w:r w:rsidR="006F0648" w:rsidRPr="000D4513">
        <w:rPr>
          <w:szCs w:val="22"/>
        </w:rPr>
        <w:t xml:space="preserve"> andre klageorganer</w:t>
      </w:r>
      <w:r w:rsidR="00AE3EE0">
        <w:rPr>
          <w:szCs w:val="22"/>
        </w:rPr>
        <w:t xml:space="preserve"> eventuelt med henblik på</w:t>
      </w:r>
      <w:r w:rsidR="00484ABC">
        <w:rPr>
          <w:szCs w:val="22"/>
        </w:rPr>
        <w:t>, at</w:t>
      </w:r>
      <w:r w:rsidR="00AE3EE0">
        <w:rPr>
          <w:szCs w:val="22"/>
        </w:rPr>
        <w:t xml:space="preserve"> dette kunne indgå i den samlede informations- og vejledningsindsats</w:t>
      </w:r>
      <w:r w:rsidR="006F0648" w:rsidRPr="000D4513">
        <w:rPr>
          <w:szCs w:val="22"/>
        </w:rPr>
        <w:t>.</w:t>
      </w:r>
    </w:p>
    <w:p w14:paraId="0F4B9FA1" w14:textId="37BE8A47" w:rsidR="00A134DE" w:rsidRPr="000D4513" w:rsidRDefault="00A134DE" w:rsidP="007061AD">
      <w:pPr>
        <w:rPr>
          <w:rFonts w:eastAsia="Times New Roman" w:cs="Times New Roman"/>
          <w:color w:val="000000"/>
          <w:szCs w:val="22"/>
          <w:lang w:eastAsia="da-DK"/>
        </w:rPr>
      </w:pPr>
    </w:p>
    <w:p w14:paraId="333ECB79" w14:textId="77777777" w:rsidR="00AF707A" w:rsidRPr="000D4513" w:rsidRDefault="00AF707A" w:rsidP="007061AD">
      <w:pPr>
        <w:pStyle w:val="Overskrift1"/>
        <w:ind w:left="425" w:hanging="425"/>
        <w:rPr>
          <w:szCs w:val="22"/>
        </w:rPr>
      </w:pPr>
      <w:bookmarkStart w:id="30" w:name="_Ref52719420"/>
      <w:bookmarkStart w:id="31" w:name="_Toc54877189"/>
      <w:r w:rsidRPr="000D4513">
        <w:rPr>
          <w:szCs w:val="22"/>
        </w:rPr>
        <w:t>Tilsyn</w:t>
      </w:r>
      <w:bookmarkEnd w:id="30"/>
      <w:bookmarkEnd w:id="31"/>
    </w:p>
    <w:p w14:paraId="0B10B149" w14:textId="77777777" w:rsidR="008F7205" w:rsidRPr="000D4513" w:rsidRDefault="008F7205" w:rsidP="007061AD">
      <w:pPr>
        <w:pStyle w:val="Brdtekst"/>
        <w:rPr>
          <w:szCs w:val="22"/>
        </w:rPr>
      </w:pPr>
    </w:p>
    <w:p w14:paraId="1A6DE635" w14:textId="0F0A3C92" w:rsidR="008F7205" w:rsidRPr="000D4513" w:rsidRDefault="009B54C2" w:rsidP="009B54C2">
      <w:pPr>
        <w:pStyle w:val="Overskrift2"/>
        <w:ind w:left="426" w:hanging="455"/>
        <w:rPr>
          <w:szCs w:val="22"/>
        </w:rPr>
      </w:pPr>
      <w:bookmarkStart w:id="32" w:name="_Toc54877190"/>
      <w:r w:rsidRPr="000D4513">
        <w:rPr>
          <w:szCs w:val="22"/>
        </w:rPr>
        <w:t>Epinion-evalueringen</w:t>
      </w:r>
      <w:r w:rsidR="008F7205" w:rsidRPr="000D4513">
        <w:rPr>
          <w:szCs w:val="22"/>
        </w:rPr>
        <w:t>s centrale resultater</w:t>
      </w:r>
      <w:bookmarkEnd w:id="32"/>
    </w:p>
    <w:p w14:paraId="05254AEF" w14:textId="2536F771" w:rsidR="008F7205" w:rsidRPr="000D4513" w:rsidRDefault="008F7205" w:rsidP="007061AD">
      <w:pPr>
        <w:pStyle w:val="Opstilling-punkttegn"/>
        <w:numPr>
          <w:ilvl w:val="0"/>
          <w:numId w:val="0"/>
        </w:numPr>
        <w:rPr>
          <w:b/>
        </w:rPr>
      </w:pPr>
      <w:r w:rsidRPr="000D4513">
        <w:t>Hovedresultaterne af Epinions evaluering for så vidt angår tilsyn er:</w:t>
      </w:r>
    </w:p>
    <w:p w14:paraId="02B877D6" w14:textId="77777777" w:rsidR="001F05D8" w:rsidRPr="000D4513" w:rsidRDefault="001F05D8" w:rsidP="007061AD">
      <w:pPr>
        <w:pStyle w:val="Opstilling-punkttegn"/>
        <w:numPr>
          <w:ilvl w:val="0"/>
          <w:numId w:val="1"/>
        </w:numPr>
      </w:pPr>
      <w:r w:rsidRPr="000D4513">
        <w:t>I gennemsnit er 42 pct. af institutionerne bekendte med DCUMs forpligtelse til at føre tilsyn.</w:t>
      </w:r>
    </w:p>
    <w:p w14:paraId="79DA0B61" w14:textId="77777777" w:rsidR="001F05D8" w:rsidRPr="000D4513" w:rsidRDefault="001F05D8" w:rsidP="007061AD">
      <w:pPr>
        <w:pStyle w:val="Opstilling-punkttegn"/>
        <w:numPr>
          <w:ilvl w:val="0"/>
          <w:numId w:val="1"/>
        </w:numPr>
      </w:pPr>
      <w:r w:rsidRPr="000D4513">
        <w:t xml:space="preserve">Kendskabsgraden blandt folkeskolerne, gymnasierne og erhvervsskolerne er signifikant højere end kendskabet blandt efterskolerne. </w:t>
      </w:r>
    </w:p>
    <w:p w14:paraId="3CF382C0" w14:textId="77777777" w:rsidR="008F7205" w:rsidRPr="000D4513" w:rsidRDefault="00A62161" w:rsidP="007061AD">
      <w:pPr>
        <w:pStyle w:val="Opstilling-punkttegn"/>
        <w:numPr>
          <w:ilvl w:val="0"/>
          <w:numId w:val="1"/>
        </w:numPr>
      </w:pPr>
      <w:r w:rsidRPr="000D4513">
        <w:t>I</w:t>
      </w:r>
      <w:r w:rsidR="001F05D8" w:rsidRPr="000D4513">
        <w:t>nstitutioner, som har anvendt DCUMs inspirationsmaterialer i udarbejdelsen af deres antimobbestrategi, har et signifikant højere kendskab til DCUMs mulighed for at føre tilsyn</w:t>
      </w:r>
      <w:r w:rsidR="008F7205" w:rsidRPr="000D4513">
        <w:t>.</w:t>
      </w:r>
    </w:p>
    <w:p w14:paraId="64EBC98D" w14:textId="77777777" w:rsidR="008F7205" w:rsidRPr="000D4513" w:rsidRDefault="008F7205" w:rsidP="007061AD">
      <w:pPr>
        <w:pStyle w:val="Brdtekst"/>
        <w:rPr>
          <w:szCs w:val="22"/>
        </w:rPr>
      </w:pPr>
    </w:p>
    <w:p w14:paraId="44A02334" w14:textId="77777777" w:rsidR="00AF707A" w:rsidRPr="000D4513" w:rsidRDefault="002853BE" w:rsidP="009B54C2">
      <w:pPr>
        <w:pStyle w:val="Overskrift2"/>
        <w:ind w:left="426" w:hanging="455"/>
        <w:rPr>
          <w:szCs w:val="22"/>
        </w:rPr>
      </w:pPr>
      <w:bookmarkStart w:id="33" w:name="_Toc54877191"/>
      <w:r w:rsidRPr="000D4513">
        <w:rPr>
          <w:szCs w:val="22"/>
        </w:rPr>
        <w:t>Høringsparternes synspunkter i 1. høring</w:t>
      </w:r>
      <w:bookmarkEnd w:id="33"/>
    </w:p>
    <w:p w14:paraId="52E1467D" w14:textId="3C294042" w:rsidR="00CB4E5A" w:rsidRPr="000D4513" w:rsidRDefault="00CB4E5A" w:rsidP="00CB4E5A">
      <w:pPr>
        <w:pStyle w:val="Brdtekst"/>
        <w:rPr>
          <w:szCs w:val="22"/>
        </w:rPr>
      </w:pPr>
      <w:r w:rsidRPr="000D4513">
        <w:rPr>
          <w:szCs w:val="22"/>
          <w:u w:val="single"/>
        </w:rPr>
        <w:t>Danmarks Private Skoler</w:t>
      </w:r>
      <w:r w:rsidRPr="000D4513">
        <w:rPr>
          <w:szCs w:val="22"/>
        </w:rPr>
        <w:t xml:space="preserve"> finder det fortsat uacceptabelt, </w:t>
      </w:r>
      <w:r w:rsidR="00484ABC">
        <w:rPr>
          <w:szCs w:val="22"/>
        </w:rPr>
        <w:t xml:space="preserve">at </w:t>
      </w:r>
      <w:r w:rsidRPr="000D4513">
        <w:rPr>
          <w:szCs w:val="22"/>
        </w:rPr>
        <w:t>de frie og private skoler blev underlagt endnu en tilsynsmyndighed (DCUM). Det fremhæves, at det overordnede tilsyn med de frie og private skoler hører til hos Styrelsen for Undervisning og Kvalitet, herunder alle beslutninger om tilbageholdelse af tilskudsmidler.</w:t>
      </w:r>
    </w:p>
    <w:p w14:paraId="3A706828" w14:textId="77777777" w:rsidR="00AF707A" w:rsidRPr="000D4513" w:rsidRDefault="00AF707A" w:rsidP="007061AD">
      <w:pPr>
        <w:pStyle w:val="Brdtekst"/>
        <w:rPr>
          <w:szCs w:val="22"/>
        </w:rPr>
      </w:pPr>
    </w:p>
    <w:p w14:paraId="0558AB04" w14:textId="48BF6FBC" w:rsidR="00AF707A" w:rsidRPr="000D4513" w:rsidRDefault="00AF707A" w:rsidP="009B54C2">
      <w:pPr>
        <w:pStyle w:val="Overskrift2"/>
        <w:ind w:left="426" w:hanging="455"/>
        <w:rPr>
          <w:szCs w:val="22"/>
        </w:rPr>
      </w:pPr>
      <w:bookmarkStart w:id="34" w:name="_Toc54877192"/>
      <w:r w:rsidRPr="000D4513">
        <w:rPr>
          <w:szCs w:val="22"/>
        </w:rPr>
        <w:lastRenderedPageBreak/>
        <w:t xml:space="preserve">Børne- og </w:t>
      </w:r>
      <w:r w:rsidR="00484ABC">
        <w:rPr>
          <w:szCs w:val="22"/>
        </w:rPr>
        <w:t>U</w:t>
      </w:r>
      <w:r w:rsidRPr="000D4513">
        <w:rPr>
          <w:szCs w:val="22"/>
        </w:rPr>
        <w:t>ndervisningsministeriets bemærkninger og overvejelser</w:t>
      </w:r>
      <w:bookmarkEnd w:id="34"/>
    </w:p>
    <w:p w14:paraId="49AC7B59" w14:textId="3DEA46A0" w:rsidR="00CB4E5A" w:rsidRPr="000D4513" w:rsidRDefault="00CB4E5A" w:rsidP="00CB4E5A">
      <w:pPr>
        <w:pStyle w:val="Brdtekst"/>
        <w:rPr>
          <w:szCs w:val="22"/>
        </w:rPr>
      </w:pPr>
      <w:r w:rsidRPr="000D4513">
        <w:rPr>
          <w:szCs w:val="22"/>
        </w:rPr>
        <w:t xml:space="preserve">Ministeriet noterer sig de fremsatte synspunkter og bemærker dels, at DCUM ligesom Styrelsen for Undervisning og Kvalitet er en statslig institution, dels at </w:t>
      </w:r>
      <w:r w:rsidR="00B47587" w:rsidRPr="000D4513">
        <w:rPr>
          <w:szCs w:val="22"/>
        </w:rPr>
        <w:t>DCUM</w:t>
      </w:r>
      <w:r w:rsidRPr="000D4513">
        <w:rPr>
          <w:szCs w:val="22"/>
        </w:rPr>
        <w:t>s tilsyn med undervisningsmiljølovens overholdelse forløber sideløbende med øvrige tilsyn med uddannelsesstedernes undervisning m.v., som er reguleret i anden lovgivning.</w:t>
      </w:r>
    </w:p>
    <w:p w14:paraId="7904DDBF" w14:textId="77777777" w:rsidR="00CB4E5A" w:rsidRPr="000D4513" w:rsidRDefault="00CB4E5A" w:rsidP="00CB4E5A">
      <w:pPr>
        <w:pStyle w:val="Brdtekst"/>
        <w:rPr>
          <w:szCs w:val="22"/>
        </w:rPr>
      </w:pPr>
    </w:p>
    <w:p w14:paraId="4ABBCF1D" w14:textId="481254CE" w:rsidR="00CB4E5A" w:rsidRPr="000D4513" w:rsidRDefault="00CB4E5A" w:rsidP="00CB4E5A">
      <w:pPr>
        <w:pStyle w:val="Brdtekst"/>
        <w:rPr>
          <w:szCs w:val="22"/>
        </w:rPr>
      </w:pPr>
      <w:r w:rsidRPr="000D4513">
        <w:rPr>
          <w:szCs w:val="22"/>
        </w:rPr>
        <w:t>Ministeriet noterer sig i øvrigt, at der ikke derudover er fremkommet specifikke bemærkninger vedrørende DCUMs tilsynsfunktion i høringen.</w:t>
      </w:r>
    </w:p>
    <w:p w14:paraId="22056693" w14:textId="4D45EC87" w:rsidR="00CB4E5A" w:rsidRDefault="00CB4E5A" w:rsidP="00CB4E5A">
      <w:pPr>
        <w:pStyle w:val="Brdtekst"/>
        <w:rPr>
          <w:szCs w:val="22"/>
        </w:rPr>
      </w:pPr>
    </w:p>
    <w:p w14:paraId="474EA64A" w14:textId="274035C5" w:rsidR="008870EE" w:rsidRPr="000D4513" w:rsidRDefault="008870EE" w:rsidP="008870EE">
      <w:pPr>
        <w:rPr>
          <w:szCs w:val="22"/>
        </w:rPr>
      </w:pPr>
      <w:r>
        <w:rPr>
          <w:szCs w:val="22"/>
        </w:rPr>
        <w:t>Det kan</w:t>
      </w:r>
      <w:r w:rsidRPr="000D4513">
        <w:rPr>
          <w:szCs w:val="22"/>
        </w:rPr>
        <w:t xml:space="preserve"> formentlig forsigtigt tages som udtryk for, at der – med </w:t>
      </w:r>
      <w:r>
        <w:rPr>
          <w:szCs w:val="22"/>
        </w:rPr>
        <w:t>de nævnte</w:t>
      </w:r>
      <w:r w:rsidRPr="000D4513">
        <w:rPr>
          <w:szCs w:val="22"/>
        </w:rPr>
        <w:t xml:space="preserve"> undtagelser – ikke er utilfredshed hermed.</w:t>
      </w:r>
      <w:r>
        <w:rPr>
          <w:szCs w:val="22"/>
        </w:rPr>
        <w:t xml:space="preserve"> På den anden side kan det også være udtryk f</w:t>
      </w:r>
      <w:r>
        <w:t>or manglende kendskab, eller at institutionerne ikke oplever, at der ført et reelt tilsyn.</w:t>
      </w:r>
    </w:p>
    <w:p w14:paraId="35D358DF" w14:textId="77777777" w:rsidR="008870EE" w:rsidRPr="000D4513" w:rsidRDefault="008870EE" w:rsidP="00CB4E5A">
      <w:pPr>
        <w:pStyle w:val="Brdtekst"/>
        <w:rPr>
          <w:szCs w:val="22"/>
        </w:rPr>
      </w:pPr>
    </w:p>
    <w:p w14:paraId="443CE37A" w14:textId="29CDBFFC" w:rsidR="00CB4E5A" w:rsidRPr="000D4513" w:rsidRDefault="00CB4E5A" w:rsidP="00CB4E5A">
      <w:pPr>
        <w:pStyle w:val="Brdtekst"/>
        <w:rPr>
          <w:szCs w:val="22"/>
        </w:rPr>
      </w:pPr>
      <w:r w:rsidRPr="000D4513">
        <w:rPr>
          <w:szCs w:val="22"/>
        </w:rPr>
        <w:t xml:space="preserve">Ministeriet bemærker hertil, at tilsynsmodellen med hensyn til mobning var baseret på en forventning om, at tilsynet helt overvejende ville bestå i at behandle de indkomne klager. Dette kan eventuelt </w:t>
      </w:r>
      <w:r w:rsidR="008870EE">
        <w:rPr>
          <w:szCs w:val="22"/>
        </w:rPr>
        <w:t xml:space="preserve">også </w:t>
      </w:r>
      <w:r w:rsidRPr="000D4513">
        <w:rPr>
          <w:szCs w:val="22"/>
        </w:rPr>
        <w:t xml:space="preserve">forklare både de sparsomme bemærkninger om tilsyn både i høringen og i Epinions evaluering, derved at tilsynet formentlig </w:t>
      </w:r>
      <w:r w:rsidR="005A4E51" w:rsidRPr="000D4513">
        <w:rPr>
          <w:szCs w:val="22"/>
        </w:rPr>
        <w:t>i praksis opleves</w:t>
      </w:r>
      <w:r w:rsidRPr="000D4513">
        <w:rPr>
          <w:szCs w:val="22"/>
        </w:rPr>
        <w:t xml:space="preserve"> som en integreret del af klageordningen. En anden del af forklaringen kan være, at det ikke med ændringsloven var tilsigtet, at DCUM skulle gennemføre tilsynsbesøg, som formentlig i praksis er det, der for uddannelsesstederne</w:t>
      </w:r>
      <w:r w:rsidR="005A4E51" w:rsidRPr="000D4513">
        <w:rPr>
          <w:szCs w:val="22"/>
        </w:rPr>
        <w:t xml:space="preserve"> i første række</w:t>
      </w:r>
      <w:r w:rsidRPr="000D4513">
        <w:rPr>
          <w:szCs w:val="22"/>
        </w:rPr>
        <w:t xml:space="preserve"> karakteriserer en tilsynsordning.</w:t>
      </w:r>
    </w:p>
    <w:p w14:paraId="23C056F1" w14:textId="77BB4D2C" w:rsidR="00AF707A" w:rsidRPr="000D4513" w:rsidRDefault="00AF707A" w:rsidP="007061AD">
      <w:pPr>
        <w:rPr>
          <w:rFonts w:eastAsia="Times New Roman" w:cs="Times New Roman"/>
          <w:color w:val="000000"/>
          <w:szCs w:val="22"/>
          <w:lang w:eastAsia="da-DK"/>
        </w:rPr>
      </w:pPr>
    </w:p>
    <w:p w14:paraId="24D41240" w14:textId="77777777" w:rsidR="005F103D" w:rsidRPr="000D4513" w:rsidRDefault="00702C62" w:rsidP="00FF6615">
      <w:pPr>
        <w:pStyle w:val="Overskrift1"/>
        <w:ind w:left="425" w:hanging="425"/>
        <w:rPr>
          <w:szCs w:val="22"/>
        </w:rPr>
      </w:pPr>
      <w:bookmarkStart w:id="35" w:name="_Ref52960991"/>
      <w:bookmarkStart w:id="36" w:name="_Toc54877193"/>
      <w:r w:rsidRPr="000D4513">
        <w:rPr>
          <w:szCs w:val="22"/>
        </w:rPr>
        <w:t>Særligt om u</w:t>
      </w:r>
      <w:r w:rsidR="005F103D" w:rsidRPr="000D4513">
        <w:rPr>
          <w:szCs w:val="22"/>
        </w:rPr>
        <w:t>ngdomsuddannelser</w:t>
      </w:r>
      <w:bookmarkEnd w:id="35"/>
      <w:bookmarkEnd w:id="36"/>
    </w:p>
    <w:p w14:paraId="1D1AB0C8" w14:textId="069DE496" w:rsidR="009B54C2" w:rsidRPr="000D4513" w:rsidRDefault="009B54C2" w:rsidP="009B54C2">
      <w:pPr>
        <w:pStyle w:val="Overskrift2"/>
        <w:ind w:left="426" w:hanging="455"/>
        <w:rPr>
          <w:szCs w:val="22"/>
        </w:rPr>
      </w:pPr>
      <w:bookmarkStart w:id="37" w:name="_Toc54877194"/>
      <w:r w:rsidRPr="000D4513">
        <w:rPr>
          <w:szCs w:val="22"/>
        </w:rPr>
        <w:t>Epinion-evalueringens centrale resultater</w:t>
      </w:r>
      <w:bookmarkEnd w:id="37"/>
    </w:p>
    <w:p w14:paraId="23FCAC9E" w14:textId="51083140" w:rsidR="009B54C2" w:rsidRPr="000D4513" w:rsidRDefault="009B54C2" w:rsidP="009B54C2">
      <w:pPr>
        <w:pStyle w:val="Opstilling-punkttegn"/>
        <w:numPr>
          <w:ilvl w:val="0"/>
          <w:numId w:val="0"/>
        </w:numPr>
      </w:pPr>
      <w:r w:rsidRPr="000D4513">
        <w:t>Hovedresultaterne af Epinions evaluering for så vidt angår tilsyn er:</w:t>
      </w:r>
    </w:p>
    <w:p w14:paraId="7FD9590C" w14:textId="5FAEBF23" w:rsidR="009B54C2" w:rsidRPr="000D4513" w:rsidRDefault="009B54C2" w:rsidP="009B54C2">
      <w:pPr>
        <w:pStyle w:val="Opstilling-punkttegn"/>
      </w:pPr>
      <w:r w:rsidRPr="000D4513">
        <w:t>4 pct. af gymnasierne og 0 pct. af erhvervsskolerne</w:t>
      </w:r>
      <w:r w:rsidR="00484ABC">
        <w:t xml:space="preserve"> oplever</w:t>
      </w:r>
      <w:r w:rsidRPr="000D4513">
        <w:t>, at der ikke er nogen, der bliver mobbet på institutionen.</w:t>
      </w:r>
    </w:p>
    <w:p w14:paraId="10906A2A" w14:textId="180B7485" w:rsidR="009B54C2" w:rsidRPr="000D4513" w:rsidRDefault="009B54C2" w:rsidP="009B54C2">
      <w:pPr>
        <w:pStyle w:val="Opstilling-punkttegn"/>
      </w:pPr>
      <w:r w:rsidRPr="000D4513">
        <w:t>87 pct. af gymnasierne og 80 pct. af erhvervsskolerne har et indgående kendskab til, at uddannelsesinstitutioner skal udarbejde en antimobbestrategi.</w:t>
      </w:r>
    </w:p>
    <w:p w14:paraId="03D22159" w14:textId="473B46FF" w:rsidR="009B54C2" w:rsidRPr="000D4513" w:rsidRDefault="009B54C2" w:rsidP="009B54C2">
      <w:pPr>
        <w:pStyle w:val="Opstilling-punkttegn"/>
      </w:pPr>
      <w:r w:rsidRPr="000D4513">
        <w:t xml:space="preserve">77 pct. af gymnasierne og 74 pct. af erhvervsskolerne </w:t>
      </w:r>
      <w:r w:rsidR="00484ABC">
        <w:t xml:space="preserve">har kendskab </w:t>
      </w:r>
      <w:r w:rsidRPr="000D4513">
        <w:t>til, at uddannelsesinstitutioner skal udarbejde en handlingsplan. Det er færre end folkeskolerne.</w:t>
      </w:r>
    </w:p>
    <w:p w14:paraId="7F476B24" w14:textId="42563FF6" w:rsidR="009B54C2" w:rsidRPr="000D4513" w:rsidRDefault="009B54C2" w:rsidP="009B54C2">
      <w:pPr>
        <w:pStyle w:val="Opstilling-punkttegn"/>
      </w:pPr>
      <w:r w:rsidRPr="000D4513">
        <w:t xml:space="preserve">22 pct. af gymnasierne og 30 pct. af erhvervsskolerne </w:t>
      </w:r>
      <w:r w:rsidR="00484ABC">
        <w:t xml:space="preserve">har </w:t>
      </w:r>
      <w:r w:rsidRPr="000D4513">
        <w:t>aldrig hørt om klageinstansen. Det er langt mere end folkeskolerne.</w:t>
      </w:r>
    </w:p>
    <w:p w14:paraId="1F908275" w14:textId="68F97306" w:rsidR="009B54C2" w:rsidRPr="000D4513" w:rsidRDefault="009B54C2" w:rsidP="009B54C2">
      <w:pPr>
        <w:pStyle w:val="Opstilling-punkttegn"/>
      </w:pPr>
      <w:r w:rsidRPr="000D4513">
        <w:t>Elever på ungdomsuddannelser bruger klageadgangen betydeligt sjældnere end elever i folkeskolen.</w:t>
      </w:r>
    </w:p>
    <w:p w14:paraId="441737EE" w14:textId="095DA35C" w:rsidR="009B54C2" w:rsidRPr="000D4513" w:rsidRDefault="009B54C2" w:rsidP="009B54C2">
      <w:pPr>
        <w:pStyle w:val="Opstilling-punkttegn"/>
        <w:numPr>
          <w:ilvl w:val="0"/>
          <w:numId w:val="0"/>
        </w:numPr>
      </w:pPr>
    </w:p>
    <w:p w14:paraId="74E5856D" w14:textId="77777777" w:rsidR="009B54C2" w:rsidRPr="000D4513" w:rsidRDefault="009B54C2" w:rsidP="009B54C2">
      <w:pPr>
        <w:pStyle w:val="Overskrift2"/>
        <w:ind w:left="426" w:hanging="455"/>
        <w:rPr>
          <w:szCs w:val="22"/>
        </w:rPr>
      </w:pPr>
      <w:bookmarkStart w:id="38" w:name="_Toc54877195"/>
      <w:r w:rsidRPr="000D4513">
        <w:rPr>
          <w:szCs w:val="22"/>
        </w:rPr>
        <w:t>Høringsparternes synspunkter i 1. høring</w:t>
      </w:r>
      <w:bookmarkEnd w:id="38"/>
    </w:p>
    <w:p w14:paraId="55D1D2C7" w14:textId="1B957071" w:rsidR="009B54C2" w:rsidRPr="000D4513" w:rsidRDefault="0018686A" w:rsidP="009B54C2">
      <w:r w:rsidRPr="000D4513">
        <w:rPr>
          <w:rFonts w:cstheme="minorHAnsi"/>
          <w:szCs w:val="22"/>
          <w:u w:val="single"/>
        </w:rPr>
        <w:t xml:space="preserve">Danske Erhvervsskoler og -Gymnasier (DEG) </w:t>
      </w:r>
      <w:r w:rsidRPr="000D4513">
        <w:rPr>
          <w:rFonts w:cstheme="minorHAnsi"/>
          <w:szCs w:val="22"/>
        </w:rPr>
        <w:t>finder, at klagemuligheden i den nuværende situation har være</w:t>
      </w:r>
      <w:r w:rsidR="009B54C2" w:rsidRPr="000D4513">
        <w:rPr>
          <w:rFonts w:cstheme="minorHAnsi"/>
          <w:szCs w:val="22"/>
        </w:rPr>
        <w:t xml:space="preserve">t svær at implementere </w:t>
      </w:r>
      <w:r w:rsidRPr="000D4513">
        <w:rPr>
          <w:rFonts w:cstheme="minorHAnsi"/>
          <w:szCs w:val="22"/>
        </w:rPr>
        <w:t xml:space="preserve">på ungdomsuddannelsesområdet </w:t>
      </w:r>
      <w:r w:rsidR="009B54C2" w:rsidRPr="000D4513">
        <w:rPr>
          <w:rFonts w:cstheme="minorHAnsi"/>
          <w:szCs w:val="22"/>
        </w:rPr>
        <w:t xml:space="preserve">og anbefaler, at man </w:t>
      </w:r>
      <w:r w:rsidRPr="000D4513">
        <w:rPr>
          <w:rFonts w:cstheme="minorHAnsi"/>
          <w:szCs w:val="22"/>
        </w:rPr>
        <w:t>lægger sig op ad Arbejdstilsynets vejledning om mobning</w:t>
      </w:r>
      <w:r w:rsidR="00484ABC">
        <w:rPr>
          <w:rFonts w:cstheme="minorHAnsi"/>
          <w:szCs w:val="22"/>
        </w:rPr>
        <w:t>,</w:t>
      </w:r>
      <w:r w:rsidRPr="000D4513">
        <w:rPr>
          <w:rFonts w:cstheme="minorHAnsi"/>
          <w:szCs w:val="22"/>
        </w:rPr>
        <w:t xml:space="preserve"> både hvad angår begreber og definitioner. Der peges endvidere på, at der med fordel kunne etableres en særskilt rådgivningsmulighed i regi af DCUM rettet direkte</w:t>
      </w:r>
      <w:r w:rsidRPr="000D4513">
        <w:t xml:space="preserve"> mod de unge på ungdomsuddannelserne</w:t>
      </w:r>
      <w:r w:rsidR="009B54C2" w:rsidRPr="000D4513">
        <w:t>.</w:t>
      </w:r>
    </w:p>
    <w:p w14:paraId="2E794DAB" w14:textId="77777777" w:rsidR="0018686A" w:rsidRPr="000D4513" w:rsidRDefault="0018686A" w:rsidP="0018686A">
      <w:pPr>
        <w:rPr>
          <w:rFonts w:cstheme="minorHAnsi"/>
          <w:szCs w:val="22"/>
        </w:rPr>
      </w:pPr>
    </w:p>
    <w:p w14:paraId="7EA57774" w14:textId="3566F520" w:rsidR="00A22156" w:rsidRPr="000D4513" w:rsidRDefault="00A22156" w:rsidP="007061AD">
      <w:pPr>
        <w:rPr>
          <w:rFonts w:cstheme="minorHAnsi"/>
          <w:szCs w:val="22"/>
        </w:rPr>
      </w:pPr>
      <w:r w:rsidRPr="000D4513">
        <w:rPr>
          <w:rFonts w:cstheme="minorHAnsi"/>
          <w:szCs w:val="22"/>
          <w:u w:val="single"/>
        </w:rPr>
        <w:t>Danske HF &amp; VUC</w:t>
      </w:r>
      <w:r w:rsidRPr="000D4513">
        <w:rPr>
          <w:rFonts w:cstheme="minorHAnsi"/>
          <w:szCs w:val="22"/>
        </w:rPr>
        <w:t xml:space="preserve"> anbefaler, at der skelnes mellem grundskolen og ungdomsuddannelserne med hensyn til definitionen af mobning og mobbelignende tilfælde og viden om mobningens omfang og former.</w:t>
      </w:r>
      <w:r w:rsidR="00702C62" w:rsidRPr="000D4513">
        <w:rPr>
          <w:rFonts w:cstheme="minorHAnsi"/>
          <w:szCs w:val="22"/>
        </w:rPr>
        <w:t xml:space="preserve"> Det </w:t>
      </w:r>
      <w:r w:rsidRPr="000D4513">
        <w:rPr>
          <w:rFonts w:cstheme="minorHAnsi"/>
          <w:szCs w:val="22"/>
        </w:rPr>
        <w:t>anbefale</w:t>
      </w:r>
      <w:r w:rsidR="00702C62" w:rsidRPr="000D4513">
        <w:rPr>
          <w:rFonts w:cstheme="minorHAnsi"/>
          <w:szCs w:val="22"/>
        </w:rPr>
        <w:t>s</w:t>
      </w:r>
      <w:r w:rsidR="009B54C2" w:rsidRPr="000D4513">
        <w:rPr>
          <w:rFonts w:cstheme="minorHAnsi"/>
          <w:szCs w:val="22"/>
        </w:rPr>
        <w:t xml:space="preserve"> endvidere</w:t>
      </w:r>
      <w:r w:rsidR="00702C62" w:rsidRPr="000D4513">
        <w:rPr>
          <w:rFonts w:cstheme="minorHAnsi"/>
          <w:szCs w:val="22"/>
        </w:rPr>
        <w:t>,</w:t>
      </w:r>
      <w:r w:rsidRPr="000D4513">
        <w:rPr>
          <w:rFonts w:cstheme="minorHAnsi"/>
          <w:szCs w:val="22"/>
        </w:rPr>
        <w:t xml:space="preserve"> at </w:t>
      </w:r>
      <w:r w:rsidR="009B54C2" w:rsidRPr="000D4513">
        <w:rPr>
          <w:rFonts w:cstheme="minorHAnsi"/>
          <w:szCs w:val="22"/>
        </w:rPr>
        <w:t xml:space="preserve">der </w:t>
      </w:r>
      <w:r w:rsidR="00702C62" w:rsidRPr="000D4513">
        <w:rPr>
          <w:rFonts w:cstheme="minorHAnsi"/>
          <w:szCs w:val="22"/>
        </w:rPr>
        <w:t>etableres</w:t>
      </w:r>
      <w:r w:rsidRPr="000D4513">
        <w:rPr>
          <w:rFonts w:cstheme="minorHAnsi"/>
          <w:szCs w:val="22"/>
        </w:rPr>
        <w:t xml:space="preserve"> en mere fællesskabsorienteret definition af mobning på ungdomsuddannelserne, så ansvar og løsning ikke overlades til enkelte elever</w:t>
      </w:r>
      <w:r w:rsidR="00702C62" w:rsidRPr="000D4513">
        <w:rPr>
          <w:rFonts w:cstheme="minorHAnsi"/>
          <w:szCs w:val="22"/>
        </w:rPr>
        <w:t>, som på disse uddannelser ofte står alene i en mobbesag og ofte vælger at løse mobning med skoleskift eller frafald</w:t>
      </w:r>
      <w:r w:rsidRPr="000D4513">
        <w:rPr>
          <w:rFonts w:cstheme="minorHAnsi"/>
          <w:szCs w:val="22"/>
        </w:rPr>
        <w:t xml:space="preserve">.  </w:t>
      </w:r>
    </w:p>
    <w:p w14:paraId="2CE49148" w14:textId="77777777" w:rsidR="005F103D" w:rsidRPr="000D4513" w:rsidRDefault="005F103D" w:rsidP="007061AD">
      <w:pPr>
        <w:rPr>
          <w:rFonts w:cstheme="minorHAnsi"/>
          <w:szCs w:val="22"/>
        </w:rPr>
      </w:pPr>
    </w:p>
    <w:p w14:paraId="57A63F9C" w14:textId="54805AC0" w:rsidR="00DB3654" w:rsidRPr="000D4513" w:rsidRDefault="00DB3654" w:rsidP="00DB3654">
      <w:r w:rsidRPr="000D4513">
        <w:rPr>
          <w:u w:val="single"/>
        </w:rPr>
        <w:lastRenderedPageBreak/>
        <w:t>Danske SOSU-skoler og Danske SOSU-skoler</w:t>
      </w:r>
      <w:r w:rsidR="00BA7A45">
        <w:rPr>
          <w:u w:val="single"/>
        </w:rPr>
        <w:t xml:space="preserve"> - Bestyrelserne</w:t>
      </w:r>
      <w:r w:rsidRPr="000D4513">
        <w:t xml:space="preserve"> fremhæver, at erhvervsuddannelseselevers primære sociale forankring ofte er i praktikvirksomhedens organisatoriske fællesskab snarere end i skolen, og at der derfor er et behov for at genbesøge institutionernes antimobbestrategier med henblik på at sikre inddragelse og ejerskab fra alle ansvarlige parter i uddannelsesforløbet. For social- og sundhedsskolerne bemærkes, at en gennemsnitsalder på +30 år gør forældrekontakt yderst begrænset, og der findes behov for </w:t>
      </w:r>
      <w:r w:rsidR="00484ABC">
        <w:t xml:space="preserve">at </w:t>
      </w:r>
      <w:r w:rsidRPr="000D4513">
        <w:t xml:space="preserve">styrke informationen om klageordningerne overfor ældre elever. </w:t>
      </w:r>
    </w:p>
    <w:p w14:paraId="1FE33650" w14:textId="77777777" w:rsidR="00DB3654" w:rsidRPr="000D4513" w:rsidRDefault="00DB3654" w:rsidP="007061AD">
      <w:pPr>
        <w:rPr>
          <w:rFonts w:cstheme="minorHAnsi"/>
          <w:szCs w:val="22"/>
        </w:rPr>
      </w:pPr>
    </w:p>
    <w:p w14:paraId="6AA77174" w14:textId="65853C6F" w:rsidR="00034FE1" w:rsidRPr="000D4513" w:rsidRDefault="00034FE1" w:rsidP="007061AD">
      <w:pPr>
        <w:rPr>
          <w:rFonts w:cstheme="minorHAnsi"/>
          <w:szCs w:val="22"/>
        </w:rPr>
      </w:pPr>
      <w:r w:rsidRPr="000D4513">
        <w:rPr>
          <w:rFonts w:cstheme="minorHAnsi"/>
          <w:szCs w:val="22"/>
          <w:u w:val="single"/>
        </w:rPr>
        <w:t>SSP-Samrådet</w:t>
      </w:r>
      <w:r w:rsidRPr="000D4513">
        <w:rPr>
          <w:rFonts w:cstheme="minorHAnsi"/>
          <w:szCs w:val="22"/>
        </w:rPr>
        <w:t xml:space="preserve"> fremhæver et behov for fokus på ungdomsuddannelserne, da mange </w:t>
      </w:r>
      <w:r w:rsidR="009B54C2" w:rsidRPr="000D4513">
        <w:rPr>
          <w:rFonts w:cstheme="minorHAnsi"/>
          <w:szCs w:val="22"/>
        </w:rPr>
        <w:t>på disse uddannelser</w:t>
      </w:r>
      <w:r w:rsidRPr="000D4513">
        <w:rPr>
          <w:rFonts w:cstheme="minorHAnsi"/>
          <w:szCs w:val="22"/>
        </w:rPr>
        <w:t xml:space="preserve"> kommer til at stå alene og opfatter, at det er </w:t>
      </w:r>
      <w:r w:rsidR="00484ABC">
        <w:rPr>
          <w:rFonts w:cstheme="minorHAnsi"/>
          <w:szCs w:val="22"/>
        </w:rPr>
        <w:t xml:space="preserve">deres </w:t>
      </w:r>
      <w:r w:rsidRPr="000D4513">
        <w:rPr>
          <w:rFonts w:cstheme="minorHAnsi"/>
          <w:szCs w:val="22"/>
        </w:rPr>
        <w:t>egen skyld, hvis de ikke kan passe ind.</w:t>
      </w:r>
    </w:p>
    <w:p w14:paraId="34B8598A" w14:textId="77777777" w:rsidR="00034FE1" w:rsidRPr="000D4513" w:rsidRDefault="00034FE1" w:rsidP="00034FE1">
      <w:pPr>
        <w:autoSpaceDE w:val="0"/>
        <w:autoSpaceDN w:val="0"/>
        <w:adjustRightInd w:val="0"/>
        <w:rPr>
          <w:rFonts w:ascii="Calibri" w:hAnsi="Calibri" w:cs="Calibri"/>
          <w:color w:val="000000"/>
          <w:sz w:val="24"/>
          <w:szCs w:val="24"/>
        </w:rPr>
      </w:pPr>
    </w:p>
    <w:p w14:paraId="1F4FDA47" w14:textId="17CD5FB5" w:rsidR="00702C62" w:rsidRPr="000D4513" w:rsidRDefault="00702C62" w:rsidP="007061AD">
      <w:pPr>
        <w:rPr>
          <w:rFonts w:cstheme="minorHAnsi"/>
          <w:szCs w:val="22"/>
        </w:rPr>
      </w:pPr>
      <w:r w:rsidRPr="000D4513">
        <w:rPr>
          <w:rFonts w:cstheme="minorHAnsi"/>
          <w:szCs w:val="22"/>
          <w:u w:val="single"/>
        </w:rPr>
        <w:t>Uddannelsesforbundet</w:t>
      </w:r>
      <w:r w:rsidRPr="000D4513">
        <w:rPr>
          <w:rFonts w:cstheme="minorHAnsi"/>
          <w:szCs w:val="22"/>
        </w:rPr>
        <w:t xml:space="preserve"> finder, at der i det videre</w:t>
      </w:r>
      <w:r w:rsidR="00C9309D">
        <w:rPr>
          <w:rFonts w:cstheme="minorHAnsi"/>
          <w:szCs w:val="22"/>
        </w:rPr>
        <w:t xml:space="preserve"> arbejde</w:t>
      </w:r>
      <w:r w:rsidRPr="000D4513">
        <w:rPr>
          <w:rFonts w:cstheme="minorHAnsi"/>
          <w:szCs w:val="22"/>
        </w:rPr>
        <w:t xml:space="preserve"> bør rettes en opmærksomhed mod</w:t>
      </w:r>
      <w:r w:rsidR="00C9309D">
        <w:rPr>
          <w:rFonts w:cstheme="minorHAnsi"/>
          <w:szCs w:val="22"/>
        </w:rPr>
        <w:t>,</w:t>
      </w:r>
      <w:r w:rsidRPr="000D4513">
        <w:rPr>
          <w:rFonts w:cstheme="minorHAnsi"/>
          <w:szCs w:val="22"/>
        </w:rPr>
        <w:t xml:space="preserve"> at eleverne på ungdomsuddannelserne oplever udfordringer ved den nuværende klageadgang, fordi forældre i mindre grad er direkte involveret på ungdomsuddannelserne. Der peges endvidere på, at der på ungdomsuddannelserne kan være en tendens til i højere grad at se mobning som et problem, der vedrører enkelte eller få elever, og at </w:t>
      </w:r>
      <w:r w:rsidR="00484ABC">
        <w:rPr>
          <w:rFonts w:cstheme="minorHAnsi"/>
          <w:szCs w:val="22"/>
        </w:rPr>
        <w:t xml:space="preserve">der </w:t>
      </w:r>
      <w:r w:rsidRPr="000D4513">
        <w:rPr>
          <w:rFonts w:cstheme="minorHAnsi"/>
          <w:szCs w:val="22"/>
        </w:rPr>
        <w:t xml:space="preserve">dermed ikke er samme fokus på de dynamikker, der kan være på spil i et fællesskab. En tendens som bør medtænkes i fremtidig pædagogisk kompetenceudvikling. </w:t>
      </w:r>
    </w:p>
    <w:p w14:paraId="53471619" w14:textId="77777777" w:rsidR="009B54C2" w:rsidRPr="000D4513" w:rsidRDefault="009B54C2" w:rsidP="009B54C2">
      <w:pPr>
        <w:pStyle w:val="Brdtekst"/>
        <w:rPr>
          <w:szCs w:val="22"/>
        </w:rPr>
      </w:pPr>
    </w:p>
    <w:p w14:paraId="692799C4" w14:textId="3CDD5542" w:rsidR="009B54C2" w:rsidRPr="000D4513" w:rsidRDefault="009B54C2" w:rsidP="009B54C2">
      <w:pPr>
        <w:pStyle w:val="Overskrift2"/>
        <w:ind w:left="426" w:hanging="455"/>
        <w:rPr>
          <w:szCs w:val="22"/>
        </w:rPr>
      </w:pPr>
      <w:bookmarkStart w:id="39" w:name="_Toc54877196"/>
      <w:r w:rsidRPr="000D4513">
        <w:rPr>
          <w:szCs w:val="22"/>
        </w:rPr>
        <w:t xml:space="preserve">Børne- og </w:t>
      </w:r>
      <w:r w:rsidR="00484ABC">
        <w:rPr>
          <w:szCs w:val="22"/>
        </w:rPr>
        <w:t>U</w:t>
      </w:r>
      <w:r w:rsidRPr="000D4513">
        <w:rPr>
          <w:szCs w:val="22"/>
        </w:rPr>
        <w:t>ndervisningsministeriets bemærkninger og overvejelser</w:t>
      </w:r>
      <w:bookmarkEnd w:id="39"/>
    </w:p>
    <w:p w14:paraId="2F8D6D44" w14:textId="592C3C7E" w:rsidR="00C56BA6" w:rsidRPr="008870EE" w:rsidRDefault="009B54C2" w:rsidP="009B54C2">
      <w:pPr>
        <w:rPr>
          <w:rFonts w:cstheme="minorHAnsi"/>
          <w:szCs w:val="22"/>
        </w:rPr>
      </w:pPr>
      <w:r w:rsidRPr="000D4513">
        <w:rPr>
          <w:szCs w:val="22"/>
        </w:rPr>
        <w:t xml:space="preserve">Ministeriet </w:t>
      </w:r>
      <w:r w:rsidR="00A459B9" w:rsidRPr="000D4513">
        <w:rPr>
          <w:szCs w:val="22"/>
        </w:rPr>
        <w:t>bemærker, at lovforslaget bag ændringsloven ikke indeholder bemærkninger, som angiver</w:t>
      </w:r>
      <w:r w:rsidR="00C9309D">
        <w:rPr>
          <w:szCs w:val="22"/>
        </w:rPr>
        <w:t>,</w:t>
      </w:r>
      <w:r w:rsidR="00A459B9" w:rsidRPr="000D4513">
        <w:rPr>
          <w:szCs w:val="22"/>
        </w:rPr>
        <w:t xml:space="preserve"> hvorvidt </w:t>
      </w:r>
      <w:r w:rsidR="00C56BA6" w:rsidRPr="000D4513">
        <w:rPr>
          <w:szCs w:val="22"/>
        </w:rPr>
        <w:t xml:space="preserve">behovet for eventuelt sondre </w:t>
      </w:r>
      <w:r w:rsidR="00C56BA6" w:rsidRPr="000D4513">
        <w:rPr>
          <w:rFonts w:cstheme="minorHAnsi"/>
          <w:szCs w:val="22"/>
        </w:rPr>
        <w:t>mellem elever i grundskolen og på ungdomsuddannelserne,</w:t>
      </w:r>
      <w:r w:rsidR="00C56BA6" w:rsidRPr="008870EE">
        <w:rPr>
          <w:rFonts w:cstheme="minorHAnsi"/>
          <w:szCs w:val="22"/>
        </w:rPr>
        <w:t xml:space="preserve"> har været overvejet. </w:t>
      </w:r>
    </w:p>
    <w:p w14:paraId="2CCEF3B1" w14:textId="77777777" w:rsidR="00C56BA6" w:rsidRPr="008870EE" w:rsidRDefault="00C56BA6" w:rsidP="009B54C2">
      <w:pPr>
        <w:rPr>
          <w:rFonts w:cstheme="minorHAnsi"/>
          <w:szCs w:val="22"/>
        </w:rPr>
      </w:pPr>
    </w:p>
    <w:p w14:paraId="0BF2A78C" w14:textId="54EAEF07" w:rsidR="008870EE" w:rsidRPr="008870EE" w:rsidRDefault="00564B12" w:rsidP="008870EE">
      <w:pPr>
        <w:rPr>
          <w:rFonts w:cstheme="minorHAnsi"/>
          <w:szCs w:val="22"/>
        </w:rPr>
      </w:pPr>
      <w:r w:rsidRPr="008870EE">
        <w:rPr>
          <w:rFonts w:cstheme="minorHAnsi"/>
          <w:szCs w:val="22"/>
        </w:rPr>
        <w:t>Ud</w:t>
      </w:r>
      <w:r w:rsidR="00C56BA6" w:rsidRPr="008870EE">
        <w:rPr>
          <w:rFonts w:cstheme="minorHAnsi"/>
          <w:szCs w:val="22"/>
        </w:rPr>
        <w:t xml:space="preserve"> fra resultaterne af Epinions evaluering og de omtalte høringssvar </w:t>
      </w:r>
      <w:r w:rsidRPr="008870EE">
        <w:rPr>
          <w:rFonts w:cstheme="minorHAnsi"/>
          <w:szCs w:val="22"/>
        </w:rPr>
        <w:t xml:space="preserve">kan det </w:t>
      </w:r>
      <w:r w:rsidR="00C56BA6" w:rsidRPr="008870EE">
        <w:rPr>
          <w:rFonts w:cstheme="minorHAnsi"/>
          <w:szCs w:val="22"/>
        </w:rPr>
        <w:t>ikke udelukkes, at der vil kunne være behov for andre virkemidler med hensyn til voksne</w:t>
      </w:r>
      <w:r w:rsidR="006A3F81" w:rsidRPr="008870EE">
        <w:rPr>
          <w:rFonts w:cstheme="minorHAnsi"/>
          <w:szCs w:val="22"/>
        </w:rPr>
        <w:t xml:space="preserve">, men ikke nødvendigvis </w:t>
      </w:r>
      <w:r w:rsidRPr="008870EE">
        <w:rPr>
          <w:rFonts w:cstheme="minorHAnsi"/>
          <w:szCs w:val="22"/>
        </w:rPr>
        <w:t xml:space="preserve">særligt </w:t>
      </w:r>
      <w:r w:rsidR="006A3F81" w:rsidRPr="008870EE">
        <w:rPr>
          <w:rFonts w:cstheme="minorHAnsi"/>
          <w:szCs w:val="22"/>
        </w:rPr>
        <w:t>erfarne</w:t>
      </w:r>
      <w:r w:rsidRPr="008870EE">
        <w:rPr>
          <w:rFonts w:cstheme="minorHAnsi"/>
          <w:szCs w:val="22"/>
        </w:rPr>
        <w:t>,</w:t>
      </w:r>
      <w:r w:rsidR="00C56BA6" w:rsidRPr="008870EE">
        <w:rPr>
          <w:rFonts w:cstheme="minorHAnsi"/>
          <w:szCs w:val="22"/>
        </w:rPr>
        <w:t xml:space="preserve"> elever, </w:t>
      </w:r>
      <w:r w:rsidR="006A3F81" w:rsidRPr="008870EE">
        <w:rPr>
          <w:rFonts w:cstheme="minorHAnsi"/>
          <w:szCs w:val="22"/>
        </w:rPr>
        <w:t>som principielt står uden den hjælp og støtte fra forældre, som gør sig gældende for elever i grundskolen.</w:t>
      </w:r>
      <w:r w:rsidR="008870EE" w:rsidRPr="008870EE">
        <w:rPr>
          <w:rFonts w:cstheme="minorHAnsi"/>
          <w:szCs w:val="22"/>
        </w:rPr>
        <w:t xml:space="preserve"> </w:t>
      </w:r>
      <w:r w:rsidR="008870EE">
        <w:rPr>
          <w:rFonts w:cstheme="minorHAnsi"/>
          <w:szCs w:val="22"/>
        </w:rPr>
        <w:t>På den anden side bemærkes, at</w:t>
      </w:r>
      <w:r w:rsidR="008870EE" w:rsidRPr="008870EE">
        <w:rPr>
          <w:rFonts w:cstheme="minorHAnsi"/>
          <w:szCs w:val="22"/>
        </w:rPr>
        <w:t xml:space="preserve"> eleverne </w:t>
      </w:r>
      <w:r w:rsidR="008870EE">
        <w:rPr>
          <w:rFonts w:cstheme="minorHAnsi"/>
          <w:szCs w:val="22"/>
        </w:rPr>
        <w:t xml:space="preserve">netop </w:t>
      </w:r>
      <w:r w:rsidR="008870EE" w:rsidRPr="008870EE">
        <w:rPr>
          <w:rFonts w:cstheme="minorHAnsi"/>
          <w:szCs w:val="22"/>
        </w:rPr>
        <w:t xml:space="preserve">er ældre (på eud ofte voksne), og derfor spiller forældrene </w:t>
      </w:r>
      <w:r w:rsidR="008870EE">
        <w:rPr>
          <w:rFonts w:cstheme="minorHAnsi"/>
          <w:szCs w:val="22"/>
        </w:rPr>
        <w:t>alt andet lige næppe</w:t>
      </w:r>
      <w:r w:rsidR="008870EE" w:rsidRPr="008870EE">
        <w:rPr>
          <w:rFonts w:cstheme="minorHAnsi"/>
          <w:szCs w:val="22"/>
        </w:rPr>
        <w:t xml:space="preserve"> samme rolle som i folkeskolen.</w:t>
      </w:r>
    </w:p>
    <w:p w14:paraId="1313E4D7" w14:textId="54572BFC" w:rsidR="006A3F81" w:rsidRPr="000D4513" w:rsidRDefault="006A3F81" w:rsidP="009B54C2">
      <w:pPr>
        <w:rPr>
          <w:szCs w:val="22"/>
        </w:rPr>
      </w:pPr>
    </w:p>
    <w:p w14:paraId="2F3F4587" w14:textId="2B8397B7" w:rsidR="006A3F81" w:rsidRPr="000D4513" w:rsidRDefault="006A3F81" w:rsidP="009B54C2">
      <w:pPr>
        <w:rPr>
          <w:szCs w:val="22"/>
        </w:rPr>
      </w:pPr>
      <w:r w:rsidRPr="000D4513">
        <w:rPr>
          <w:szCs w:val="22"/>
        </w:rPr>
        <w:t xml:space="preserve">Ministeriet er </w:t>
      </w:r>
      <w:r w:rsidR="00E20C9E">
        <w:rPr>
          <w:szCs w:val="22"/>
        </w:rPr>
        <w:t>ikke umiddelbart sikker på</w:t>
      </w:r>
      <w:r w:rsidRPr="000D4513">
        <w:rPr>
          <w:szCs w:val="22"/>
        </w:rPr>
        <w:t>, om der skulle være behov for forskellige begrebsafgrænsninger fra grundskolen til ungdomsuddannelserne.</w:t>
      </w:r>
      <w:r w:rsidR="008870EE">
        <w:rPr>
          <w:szCs w:val="22"/>
        </w:rPr>
        <w:t xml:space="preserve"> </w:t>
      </w:r>
      <w:r w:rsidR="00E20C9E">
        <w:rPr>
          <w:szCs w:val="22"/>
        </w:rPr>
        <w:t xml:space="preserve">Mobningens virkemidler kan formentlig variere fra et segment til andet, men mobningens grundlæggende karakteristika, psykologi og målsætning er formentlig ens, hvor end den finder sted. </w:t>
      </w:r>
    </w:p>
    <w:p w14:paraId="1C26A23A" w14:textId="77777777" w:rsidR="009B54C2" w:rsidRPr="000D4513" w:rsidRDefault="009B54C2" w:rsidP="007061AD">
      <w:pPr>
        <w:rPr>
          <w:rFonts w:cstheme="minorHAnsi"/>
          <w:szCs w:val="22"/>
        </w:rPr>
      </w:pPr>
    </w:p>
    <w:p w14:paraId="1A8CFD51" w14:textId="77777777" w:rsidR="00E71A15" w:rsidRPr="000D4513" w:rsidRDefault="00000B0F" w:rsidP="007061AD">
      <w:pPr>
        <w:pStyle w:val="Overskrift1"/>
        <w:ind w:left="425" w:hanging="425"/>
        <w:rPr>
          <w:szCs w:val="22"/>
        </w:rPr>
      </w:pPr>
      <w:bookmarkStart w:id="40" w:name="_Toc50645526"/>
      <w:bookmarkStart w:id="41" w:name="_Ref52973205"/>
      <w:bookmarkStart w:id="42" w:name="_Toc54877197"/>
      <w:r w:rsidRPr="000D4513">
        <w:rPr>
          <w:szCs w:val="22"/>
        </w:rPr>
        <w:t>K</w:t>
      </w:r>
      <w:r w:rsidR="00E71A15" w:rsidRPr="000D4513">
        <w:rPr>
          <w:szCs w:val="22"/>
        </w:rPr>
        <w:t>onklusion</w:t>
      </w:r>
      <w:bookmarkEnd w:id="40"/>
      <w:bookmarkEnd w:id="41"/>
      <w:bookmarkEnd w:id="42"/>
    </w:p>
    <w:p w14:paraId="26668A0F" w14:textId="1D82B7FD" w:rsidR="00CA1659" w:rsidRPr="000D4513" w:rsidRDefault="00CA1659" w:rsidP="00CA1659">
      <w:pPr>
        <w:pStyle w:val="Brdtekst"/>
        <w:rPr>
          <w:szCs w:val="22"/>
        </w:rPr>
      </w:pPr>
      <w:r w:rsidRPr="000D4513">
        <w:rPr>
          <w:szCs w:val="22"/>
        </w:rPr>
        <w:t xml:space="preserve">Sigtet med lovovervågningen havde som omtalt i afsnit </w:t>
      </w:r>
      <w:r w:rsidRPr="000D4513">
        <w:rPr>
          <w:szCs w:val="22"/>
        </w:rPr>
        <w:fldChar w:fldCharType="begin"/>
      </w:r>
      <w:r w:rsidRPr="000D4513">
        <w:rPr>
          <w:szCs w:val="22"/>
        </w:rPr>
        <w:instrText xml:space="preserve"> REF _Ref53153950 \r \h  \* MERGEFORMAT </w:instrText>
      </w:r>
      <w:r w:rsidRPr="000D4513">
        <w:rPr>
          <w:szCs w:val="22"/>
        </w:rPr>
      </w:r>
      <w:r w:rsidRPr="000D4513">
        <w:rPr>
          <w:szCs w:val="22"/>
        </w:rPr>
        <w:fldChar w:fldCharType="separate"/>
      </w:r>
      <w:r w:rsidR="00D75B58" w:rsidRPr="000D4513">
        <w:rPr>
          <w:szCs w:val="22"/>
        </w:rPr>
        <w:t>3</w:t>
      </w:r>
      <w:r w:rsidRPr="000D4513">
        <w:rPr>
          <w:szCs w:val="22"/>
        </w:rPr>
        <w:fldChar w:fldCharType="end"/>
      </w:r>
      <w:r w:rsidRPr="000D4513">
        <w:rPr>
          <w:szCs w:val="22"/>
        </w:rPr>
        <w:t xml:space="preserve"> til formål at vurdere, om lovens bestemmelser om antimobning, </w:t>
      </w:r>
      <w:r w:rsidR="00D75B58" w:rsidRPr="000D4513">
        <w:rPr>
          <w:szCs w:val="22"/>
        </w:rPr>
        <w:t>klagerordningen</w:t>
      </w:r>
      <w:r w:rsidRPr="000D4513">
        <w:rPr>
          <w:szCs w:val="22"/>
        </w:rPr>
        <w:t xml:space="preserve"> og tilsyn har haft den tilsigtede virkning.</w:t>
      </w:r>
    </w:p>
    <w:p w14:paraId="393074C7" w14:textId="77777777" w:rsidR="00CA1659" w:rsidRPr="000D4513" w:rsidRDefault="00CA1659" w:rsidP="00CA1659">
      <w:pPr>
        <w:pStyle w:val="Brdtekst"/>
        <w:rPr>
          <w:szCs w:val="22"/>
        </w:rPr>
      </w:pPr>
    </w:p>
    <w:p w14:paraId="2E539530" w14:textId="7111CBAA" w:rsidR="00CA1659" w:rsidRPr="000D4513" w:rsidRDefault="00CA1659" w:rsidP="00CA1659">
      <w:pPr>
        <w:pStyle w:val="Brdtekst"/>
        <w:rPr>
          <w:szCs w:val="22"/>
        </w:rPr>
      </w:pPr>
      <w:r w:rsidRPr="000D4513">
        <w:rPr>
          <w:szCs w:val="22"/>
        </w:rPr>
        <w:t xml:space="preserve">Som nævnt i afsnit </w:t>
      </w:r>
      <w:r w:rsidR="005A4E51" w:rsidRPr="000D4513">
        <w:rPr>
          <w:szCs w:val="22"/>
        </w:rPr>
        <w:fldChar w:fldCharType="begin"/>
      </w:r>
      <w:r w:rsidR="005A4E51" w:rsidRPr="000D4513">
        <w:rPr>
          <w:szCs w:val="22"/>
        </w:rPr>
        <w:instrText xml:space="preserve"> REF _Ref53401433 \r \h </w:instrText>
      </w:r>
      <w:r w:rsidR="000D4513">
        <w:rPr>
          <w:szCs w:val="22"/>
        </w:rPr>
        <w:instrText xml:space="preserve"> \* MERGEFORMAT </w:instrText>
      </w:r>
      <w:r w:rsidR="005A4E51" w:rsidRPr="000D4513">
        <w:rPr>
          <w:szCs w:val="22"/>
        </w:rPr>
      </w:r>
      <w:r w:rsidR="005A4E51" w:rsidRPr="000D4513">
        <w:rPr>
          <w:szCs w:val="22"/>
        </w:rPr>
        <w:fldChar w:fldCharType="separate"/>
      </w:r>
      <w:r w:rsidR="005A4E51" w:rsidRPr="000D4513">
        <w:rPr>
          <w:szCs w:val="22"/>
        </w:rPr>
        <w:t>2</w:t>
      </w:r>
      <w:r w:rsidR="005A4E51" w:rsidRPr="000D4513">
        <w:rPr>
          <w:szCs w:val="22"/>
        </w:rPr>
        <w:fldChar w:fldCharType="end"/>
      </w:r>
      <w:r w:rsidRPr="000D4513">
        <w:rPr>
          <w:szCs w:val="22"/>
        </w:rPr>
        <w:t xml:space="preserve"> fulgte det af den politiske aftale af 12. november 2016, at </w:t>
      </w:r>
      <w:r w:rsidR="0022193A" w:rsidRPr="000D4513">
        <w:rPr>
          <w:szCs w:val="22"/>
        </w:rPr>
        <w:t>det overordnede sigte med</w:t>
      </w:r>
      <w:r w:rsidRPr="000D4513">
        <w:rPr>
          <w:szCs w:val="22"/>
        </w:rPr>
        <w:t xml:space="preserve"> at</w:t>
      </w:r>
      <w:r w:rsidR="0022193A" w:rsidRPr="000D4513">
        <w:rPr>
          <w:szCs w:val="22"/>
        </w:rPr>
        <w:t xml:space="preserve"> udbrede kravene vedrørende antimobbestrategier m.v. og etablere en klageordning og en </w:t>
      </w:r>
      <w:r w:rsidRPr="000D4513">
        <w:rPr>
          <w:szCs w:val="22"/>
        </w:rPr>
        <w:t>klageinstans</w:t>
      </w:r>
      <w:r w:rsidR="0022193A" w:rsidRPr="000D4513">
        <w:rPr>
          <w:szCs w:val="22"/>
        </w:rPr>
        <w:t xml:space="preserve"> var at sikre </w:t>
      </w:r>
      <w:r w:rsidRPr="000D4513">
        <w:rPr>
          <w:szCs w:val="22"/>
        </w:rPr>
        <w:t>alle elever i grundskoler og på ungdomsuddannelser en skolegang uden problemer med det psykiske undervisningsmiljø i form af mobning eller lignende. Det</w:t>
      </w:r>
      <w:r w:rsidR="0022193A" w:rsidRPr="000D4513">
        <w:rPr>
          <w:szCs w:val="22"/>
        </w:rPr>
        <w:t xml:space="preserve"> var endvidere overordnet </w:t>
      </w:r>
      <w:r w:rsidRPr="000D4513">
        <w:rPr>
          <w:szCs w:val="22"/>
        </w:rPr>
        <w:t>m</w:t>
      </w:r>
      <w:r w:rsidR="0022193A" w:rsidRPr="000D4513">
        <w:rPr>
          <w:szCs w:val="22"/>
        </w:rPr>
        <w:t>ålet,</w:t>
      </w:r>
      <w:r w:rsidRPr="000D4513">
        <w:rPr>
          <w:szCs w:val="22"/>
        </w:rPr>
        <w:t xml:space="preserve"> at </w:t>
      </w:r>
      <w:r w:rsidR="0022193A" w:rsidRPr="000D4513">
        <w:rPr>
          <w:szCs w:val="22"/>
        </w:rPr>
        <w:t>uddannelsesstederne skulle blive</w:t>
      </w:r>
      <w:r w:rsidRPr="000D4513">
        <w:rPr>
          <w:szCs w:val="22"/>
        </w:rPr>
        <w:t xml:space="preserve"> bedre til at tage fat om problemer</w:t>
      </w:r>
      <w:r w:rsidR="00D75B58" w:rsidRPr="000D4513">
        <w:rPr>
          <w:szCs w:val="22"/>
        </w:rPr>
        <w:t xml:space="preserve">ne og få </w:t>
      </w:r>
      <w:r w:rsidR="0022193A" w:rsidRPr="000D4513">
        <w:rPr>
          <w:szCs w:val="22"/>
        </w:rPr>
        <w:t>løst dem lokalt</w:t>
      </w:r>
      <w:r w:rsidRPr="000D4513">
        <w:rPr>
          <w:szCs w:val="22"/>
        </w:rPr>
        <w:t>.</w:t>
      </w:r>
    </w:p>
    <w:p w14:paraId="578F253B" w14:textId="5B9ED49D" w:rsidR="00CA1659" w:rsidRPr="000D4513" w:rsidRDefault="00CA1659" w:rsidP="00CA1659">
      <w:pPr>
        <w:pStyle w:val="Brdtekst"/>
        <w:rPr>
          <w:szCs w:val="22"/>
        </w:rPr>
      </w:pPr>
    </w:p>
    <w:p w14:paraId="0243E18C" w14:textId="69BABD30" w:rsidR="00D75B58" w:rsidRPr="000D4513" w:rsidRDefault="00B36226" w:rsidP="00CA1659">
      <w:pPr>
        <w:pStyle w:val="Brdtekst"/>
        <w:rPr>
          <w:szCs w:val="22"/>
        </w:rPr>
      </w:pPr>
      <w:r w:rsidRPr="000D4513">
        <w:rPr>
          <w:szCs w:val="22"/>
        </w:rPr>
        <w:t>Hold</w:t>
      </w:r>
      <w:r w:rsidR="00BC554C" w:rsidRPr="000D4513">
        <w:rPr>
          <w:szCs w:val="22"/>
        </w:rPr>
        <w:t>er</w:t>
      </w:r>
      <w:r w:rsidRPr="000D4513">
        <w:rPr>
          <w:szCs w:val="22"/>
        </w:rPr>
        <w:t xml:space="preserve"> man sig </w:t>
      </w:r>
      <w:r w:rsidR="0022193A" w:rsidRPr="000D4513">
        <w:rPr>
          <w:szCs w:val="22"/>
        </w:rPr>
        <w:t xml:space="preserve">disse målsætninger </w:t>
      </w:r>
      <w:r w:rsidR="00D75B58" w:rsidRPr="000D4513">
        <w:rPr>
          <w:szCs w:val="22"/>
        </w:rPr>
        <w:t xml:space="preserve">helt </w:t>
      </w:r>
      <w:r w:rsidRPr="000D4513">
        <w:rPr>
          <w:szCs w:val="22"/>
        </w:rPr>
        <w:t>bogstaveligt</w:t>
      </w:r>
      <w:r w:rsidR="0022193A" w:rsidRPr="000D4513">
        <w:rPr>
          <w:szCs w:val="22"/>
        </w:rPr>
        <w:t xml:space="preserve"> for øje</w:t>
      </w:r>
      <w:r w:rsidRPr="000D4513">
        <w:rPr>
          <w:szCs w:val="22"/>
        </w:rPr>
        <w:t>,</w:t>
      </w:r>
      <w:r w:rsidR="0022193A" w:rsidRPr="000D4513">
        <w:rPr>
          <w:szCs w:val="22"/>
        </w:rPr>
        <w:t xml:space="preserve"> </w:t>
      </w:r>
      <w:r w:rsidRPr="000D4513">
        <w:rPr>
          <w:szCs w:val="22"/>
        </w:rPr>
        <w:t xml:space="preserve">vil det </w:t>
      </w:r>
      <w:r w:rsidR="00D75B58" w:rsidRPr="000D4513">
        <w:rPr>
          <w:szCs w:val="22"/>
        </w:rPr>
        <w:t xml:space="preserve">på baggrund af </w:t>
      </w:r>
      <w:r w:rsidR="00E2355D">
        <w:rPr>
          <w:szCs w:val="22"/>
        </w:rPr>
        <w:t>evalueringen og høringen</w:t>
      </w:r>
      <w:r w:rsidR="00D75B58" w:rsidRPr="000D4513">
        <w:rPr>
          <w:szCs w:val="22"/>
        </w:rPr>
        <w:t xml:space="preserve"> </w:t>
      </w:r>
      <w:r w:rsidRPr="000D4513">
        <w:rPr>
          <w:szCs w:val="22"/>
        </w:rPr>
        <w:t xml:space="preserve">uden videre være klart, at </w:t>
      </w:r>
      <w:r w:rsidR="00D75B58" w:rsidRPr="000D4513">
        <w:rPr>
          <w:szCs w:val="22"/>
        </w:rPr>
        <w:t xml:space="preserve">de nye ordninger </w:t>
      </w:r>
      <w:r w:rsidRPr="000D4513">
        <w:rPr>
          <w:szCs w:val="22"/>
        </w:rPr>
        <w:t xml:space="preserve">ikke </w:t>
      </w:r>
      <w:r w:rsidR="00D75B58" w:rsidRPr="000D4513">
        <w:rPr>
          <w:szCs w:val="22"/>
        </w:rPr>
        <w:t xml:space="preserve">fuldt ud </w:t>
      </w:r>
      <w:r w:rsidRPr="000D4513">
        <w:rPr>
          <w:szCs w:val="22"/>
        </w:rPr>
        <w:t xml:space="preserve">har </w:t>
      </w:r>
      <w:r w:rsidR="0022193A" w:rsidRPr="000D4513">
        <w:rPr>
          <w:szCs w:val="22"/>
        </w:rPr>
        <w:t>haft den tilsigtede virkning</w:t>
      </w:r>
      <w:r w:rsidRPr="000D4513">
        <w:rPr>
          <w:szCs w:val="22"/>
        </w:rPr>
        <w:t xml:space="preserve">. </w:t>
      </w:r>
    </w:p>
    <w:p w14:paraId="7FC63CE8" w14:textId="77777777" w:rsidR="00D75B58" w:rsidRPr="000D4513" w:rsidRDefault="00D75B58" w:rsidP="00CA1659">
      <w:pPr>
        <w:pStyle w:val="Brdtekst"/>
        <w:rPr>
          <w:szCs w:val="22"/>
        </w:rPr>
      </w:pPr>
    </w:p>
    <w:p w14:paraId="0B084282" w14:textId="77777777" w:rsidR="00E2355D" w:rsidRDefault="00D75B58" w:rsidP="00AE3EE0">
      <w:pPr>
        <w:pStyle w:val="Brdtekst"/>
        <w:rPr>
          <w:szCs w:val="22"/>
        </w:rPr>
      </w:pPr>
      <w:r w:rsidRPr="000D4513">
        <w:rPr>
          <w:szCs w:val="22"/>
        </w:rPr>
        <w:lastRenderedPageBreak/>
        <w:t xml:space="preserve">Det </w:t>
      </w:r>
      <w:r w:rsidR="00AE3EE0">
        <w:rPr>
          <w:szCs w:val="22"/>
        </w:rPr>
        <w:t>vurderes</w:t>
      </w:r>
      <w:r w:rsidRPr="000D4513">
        <w:rPr>
          <w:szCs w:val="22"/>
        </w:rPr>
        <w:t xml:space="preserve"> omvendt ikke </w:t>
      </w:r>
      <w:r w:rsidR="00AE3EE0">
        <w:rPr>
          <w:szCs w:val="22"/>
        </w:rPr>
        <w:t xml:space="preserve">at være </w:t>
      </w:r>
      <w:r w:rsidRPr="000D4513">
        <w:rPr>
          <w:szCs w:val="22"/>
        </w:rPr>
        <w:t xml:space="preserve">ensbetydende med, at de nye ordninger slet ikke </w:t>
      </w:r>
      <w:r w:rsidR="00AE3EE0">
        <w:rPr>
          <w:szCs w:val="22"/>
        </w:rPr>
        <w:t xml:space="preserve">har </w:t>
      </w:r>
      <w:r w:rsidRPr="000D4513">
        <w:rPr>
          <w:szCs w:val="22"/>
        </w:rPr>
        <w:t xml:space="preserve">haft </w:t>
      </w:r>
      <w:r w:rsidR="00AE3EE0">
        <w:rPr>
          <w:szCs w:val="22"/>
        </w:rPr>
        <w:t>nog</w:t>
      </w:r>
      <w:r w:rsidRPr="000D4513">
        <w:rPr>
          <w:szCs w:val="22"/>
        </w:rPr>
        <w:t xml:space="preserve">en </w:t>
      </w:r>
      <w:r w:rsidR="00AE3EE0">
        <w:rPr>
          <w:szCs w:val="22"/>
        </w:rPr>
        <w:t xml:space="preserve">af de </w:t>
      </w:r>
      <w:r w:rsidRPr="000D4513">
        <w:rPr>
          <w:szCs w:val="22"/>
        </w:rPr>
        <w:t>tilsigtede virkning</w:t>
      </w:r>
      <w:r w:rsidR="00AE3EE0">
        <w:rPr>
          <w:szCs w:val="22"/>
        </w:rPr>
        <w:t>er</w:t>
      </w:r>
      <w:r w:rsidRPr="000D4513">
        <w:rPr>
          <w:szCs w:val="22"/>
        </w:rPr>
        <w:t xml:space="preserve">. </w:t>
      </w:r>
    </w:p>
    <w:p w14:paraId="07345B29" w14:textId="77777777" w:rsidR="00E2355D" w:rsidRDefault="00E2355D" w:rsidP="00AE3EE0">
      <w:pPr>
        <w:pStyle w:val="Brdtekst"/>
        <w:rPr>
          <w:szCs w:val="22"/>
        </w:rPr>
      </w:pPr>
    </w:p>
    <w:p w14:paraId="1F96D073" w14:textId="7C83E6C8" w:rsidR="00E2355D" w:rsidRPr="000D4513" w:rsidRDefault="00E2355D" w:rsidP="00E2355D">
      <w:pPr>
        <w:pStyle w:val="Brdtekst"/>
        <w:rPr>
          <w:szCs w:val="22"/>
        </w:rPr>
      </w:pPr>
      <w:r>
        <w:rPr>
          <w:szCs w:val="22"/>
        </w:rPr>
        <w:t>Evalueringen og høringen</w:t>
      </w:r>
      <w:r w:rsidRPr="000D4513">
        <w:rPr>
          <w:szCs w:val="22"/>
        </w:rPr>
        <w:t xml:space="preserve"> viser, at der overordnet </w:t>
      </w:r>
      <w:r>
        <w:rPr>
          <w:szCs w:val="22"/>
        </w:rPr>
        <w:t>ses et</w:t>
      </w:r>
      <w:r w:rsidRPr="000D4513">
        <w:rPr>
          <w:szCs w:val="22"/>
        </w:rPr>
        <w:t xml:space="preserve"> behov for en klageordning og en klageinstans</w:t>
      </w:r>
      <w:r>
        <w:rPr>
          <w:szCs w:val="22"/>
        </w:rPr>
        <w:t>. I</w:t>
      </w:r>
      <w:r w:rsidRPr="000D4513">
        <w:rPr>
          <w:szCs w:val="22"/>
        </w:rPr>
        <w:t>ndtryk</w:t>
      </w:r>
      <w:r>
        <w:rPr>
          <w:szCs w:val="22"/>
        </w:rPr>
        <w:t>ket af evalueringen og høringen</w:t>
      </w:r>
      <w:r w:rsidRPr="000D4513">
        <w:rPr>
          <w:szCs w:val="22"/>
        </w:rPr>
        <w:t xml:space="preserve"> </w:t>
      </w:r>
      <w:r>
        <w:rPr>
          <w:szCs w:val="22"/>
        </w:rPr>
        <w:t>er også</w:t>
      </w:r>
      <w:r w:rsidRPr="000D4513">
        <w:rPr>
          <w:szCs w:val="22"/>
        </w:rPr>
        <w:t>, at bestemmelserne om antimobning, klageordning og klageinstans samt tilsyn på den baggrund grundlæggende har været til gavn for det konkrete arbejde mod mobning på uddannelsesstederne.</w:t>
      </w:r>
    </w:p>
    <w:p w14:paraId="1A905844" w14:textId="55DFB028" w:rsidR="0022193A" w:rsidRPr="000D4513" w:rsidRDefault="0022193A" w:rsidP="00CA1659">
      <w:pPr>
        <w:pStyle w:val="Brdtekst"/>
        <w:rPr>
          <w:szCs w:val="22"/>
        </w:rPr>
      </w:pPr>
    </w:p>
    <w:p w14:paraId="65EAA148" w14:textId="2027B945" w:rsidR="00B36226" w:rsidRPr="000D4513" w:rsidRDefault="00AE3EE0" w:rsidP="0022193A">
      <w:pPr>
        <w:pStyle w:val="Brdtekst"/>
        <w:rPr>
          <w:szCs w:val="22"/>
        </w:rPr>
      </w:pPr>
      <w:r>
        <w:rPr>
          <w:szCs w:val="22"/>
        </w:rPr>
        <w:t>I</w:t>
      </w:r>
      <w:r w:rsidR="0022193A" w:rsidRPr="000D4513">
        <w:rPr>
          <w:szCs w:val="22"/>
        </w:rPr>
        <w:t>mplementering</w:t>
      </w:r>
      <w:r w:rsidR="00C9309D">
        <w:rPr>
          <w:szCs w:val="22"/>
        </w:rPr>
        <w:t>en</w:t>
      </w:r>
      <w:r w:rsidR="0022193A" w:rsidRPr="000D4513">
        <w:rPr>
          <w:szCs w:val="22"/>
        </w:rPr>
        <w:t xml:space="preserve"> </w:t>
      </w:r>
      <w:r>
        <w:rPr>
          <w:szCs w:val="22"/>
        </w:rPr>
        <w:t xml:space="preserve">er </w:t>
      </w:r>
      <w:r w:rsidR="00BC554C" w:rsidRPr="000D4513">
        <w:rPr>
          <w:szCs w:val="22"/>
        </w:rPr>
        <w:t xml:space="preserve">endnu </w:t>
      </w:r>
      <w:r w:rsidR="0022193A" w:rsidRPr="000D4513">
        <w:rPr>
          <w:szCs w:val="22"/>
        </w:rPr>
        <w:t xml:space="preserve">ikke alle </w:t>
      </w:r>
      <w:r w:rsidR="00B36226" w:rsidRPr="000D4513">
        <w:rPr>
          <w:szCs w:val="22"/>
        </w:rPr>
        <w:t xml:space="preserve">steder </w:t>
      </w:r>
      <w:r w:rsidR="00D75B58" w:rsidRPr="000D4513">
        <w:rPr>
          <w:szCs w:val="22"/>
        </w:rPr>
        <w:t>slået igennem fuldt ud</w:t>
      </w:r>
      <w:r w:rsidR="00B36226" w:rsidRPr="000D4513">
        <w:rPr>
          <w:szCs w:val="22"/>
        </w:rPr>
        <w:t xml:space="preserve">. </w:t>
      </w:r>
      <w:r w:rsidR="00D75B58" w:rsidRPr="000D4513">
        <w:rPr>
          <w:szCs w:val="22"/>
        </w:rPr>
        <w:t>Lovbestemmelserne og ordningerne er således stadig</w:t>
      </w:r>
      <w:r w:rsidR="005A4E51" w:rsidRPr="000D4513">
        <w:rPr>
          <w:szCs w:val="22"/>
        </w:rPr>
        <w:t xml:space="preserve"> meget nye. </w:t>
      </w:r>
      <w:r w:rsidR="00B36226" w:rsidRPr="000D4513">
        <w:rPr>
          <w:szCs w:val="22"/>
        </w:rPr>
        <w:t xml:space="preserve">Der </w:t>
      </w:r>
      <w:r w:rsidR="00E2355D">
        <w:rPr>
          <w:szCs w:val="22"/>
        </w:rPr>
        <w:t>må</w:t>
      </w:r>
      <w:r w:rsidR="00E2355D" w:rsidRPr="000D4513">
        <w:rPr>
          <w:szCs w:val="22"/>
        </w:rPr>
        <w:t xml:space="preserve"> </w:t>
      </w:r>
      <w:r w:rsidR="005A4E51" w:rsidRPr="000D4513">
        <w:rPr>
          <w:szCs w:val="22"/>
        </w:rPr>
        <w:t xml:space="preserve">derfor </w:t>
      </w:r>
      <w:r w:rsidR="00E2355D">
        <w:rPr>
          <w:szCs w:val="22"/>
        </w:rPr>
        <w:t xml:space="preserve">anses som </w:t>
      </w:r>
      <w:r w:rsidR="00B36226" w:rsidRPr="000D4513">
        <w:rPr>
          <w:szCs w:val="22"/>
        </w:rPr>
        <w:t>forventeligt, at</w:t>
      </w:r>
      <w:r w:rsidR="0022193A" w:rsidRPr="000D4513">
        <w:rPr>
          <w:szCs w:val="22"/>
        </w:rPr>
        <w:t xml:space="preserve"> </w:t>
      </w:r>
      <w:r w:rsidR="00B36226" w:rsidRPr="000D4513">
        <w:rPr>
          <w:szCs w:val="22"/>
        </w:rPr>
        <w:t xml:space="preserve">der vil være behov for en længere </w:t>
      </w:r>
      <w:r w:rsidR="0022193A" w:rsidRPr="000D4513">
        <w:rPr>
          <w:szCs w:val="22"/>
        </w:rPr>
        <w:t>implementeringsperiode</w:t>
      </w:r>
      <w:r w:rsidR="00B36226" w:rsidRPr="000D4513">
        <w:rPr>
          <w:szCs w:val="22"/>
        </w:rPr>
        <w:t xml:space="preserve"> end den forløbne.</w:t>
      </w:r>
      <w:r w:rsidR="00BC554C" w:rsidRPr="000D4513">
        <w:rPr>
          <w:szCs w:val="22"/>
        </w:rPr>
        <w:t xml:space="preserve"> Uddannelsessteder </w:t>
      </w:r>
      <w:r w:rsidR="00B36226" w:rsidRPr="000D4513">
        <w:rPr>
          <w:szCs w:val="22"/>
        </w:rPr>
        <w:t xml:space="preserve">og myndigheder er </w:t>
      </w:r>
      <w:r w:rsidR="00BC554C" w:rsidRPr="000D4513">
        <w:rPr>
          <w:szCs w:val="22"/>
        </w:rPr>
        <w:t xml:space="preserve">således endnu </w:t>
      </w:r>
      <w:r w:rsidR="00B36226" w:rsidRPr="000D4513">
        <w:rPr>
          <w:szCs w:val="22"/>
        </w:rPr>
        <w:t>i gang med at udvikle</w:t>
      </w:r>
      <w:r w:rsidR="00BC554C" w:rsidRPr="000D4513">
        <w:rPr>
          <w:szCs w:val="22"/>
        </w:rPr>
        <w:t xml:space="preserve"> procedurer og</w:t>
      </w:r>
      <w:r w:rsidR="00B36226" w:rsidRPr="000D4513">
        <w:rPr>
          <w:szCs w:val="22"/>
        </w:rPr>
        <w:t xml:space="preserve"> praksisser</w:t>
      </w:r>
      <w:r w:rsidR="00BC554C" w:rsidRPr="000D4513">
        <w:rPr>
          <w:szCs w:val="22"/>
        </w:rPr>
        <w:t xml:space="preserve"> for håndtering af</w:t>
      </w:r>
      <w:r w:rsidR="00B36226" w:rsidRPr="000D4513">
        <w:rPr>
          <w:szCs w:val="22"/>
        </w:rPr>
        <w:t xml:space="preserve"> konkret</w:t>
      </w:r>
      <w:r w:rsidR="00BC554C" w:rsidRPr="000D4513">
        <w:rPr>
          <w:szCs w:val="22"/>
        </w:rPr>
        <w:t>e</w:t>
      </w:r>
      <w:r w:rsidR="00B36226" w:rsidRPr="000D4513">
        <w:rPr>
          <w:szCs w:val="22"/>
        </w:rPr>
        <w:t xml:space="preserve"> mobbesag</w:t>
      </w:r>
      <w:r w:rsidR="00BC554C" w:rsidRPr="000D4513">
        <w:rPr>
          <w:szCs w:val="22"/>
        </w:rPr>
        <w:t xml:space="preserve">er </w:t>
      </w:r>
      <w:r w:rsidR="00B36226" w:rsidRPr="000D4513">
        <w:rPr>
          <w:szCs w:val="22"/>
        </w:rPr>
        <w:t>samt en effektiv sag</w:t>
      </w:r>
      <w:r w:rsidR="00BC554C" w:rsidRPr="000D4513">
        <w:rPr>
          <w:szCs w:val="22"/>
        </w:rPr>
        <w:t>sbehandling, hvis det kommer til en klagesag</w:t>
      </w:r>
      <w:r w:rsidR="00B36226" w:rsidRPr="000D4513">
        <w:rPr>
          <w:szCs w:val="22"/>
        </w:rPr>
        <w:t>.</w:t>
      </w:r>
    </w:p>
    <w:p w14:paraId="61B32D0B" w14:textId="6A988ECA" w:rsidR="00B36226" w:rsidRPr="000D4513" w:rsidRDefault="00B36226" w:rsidP="0022193A">
      <w:pPr>
        <w:pStyle w:val="Brdtekst"/>
        <w:rPr>
          <w:szCs w:val="22"/>
        </w:rPr>
      </w:pPr>
    </w:p>
    <w:p w14:paraId="0F75E1ED" w14:textId="0EFFBEB7" w:rsidR="00885A8F" w:rsidRPr="000D4513" w:rsidRDefault="00D75B58" w:rsidP="00885A8F">
      <w:pPr>
        <w:pStyle w:val="Brdtekst"/>
        <w:rPr>
          <w:szCs w:val="22"/>
        </w:rPr>
      </w:pPr>
      <w:r w:rsidRPr="000D4513">
        <w:rPr>
          <w:szCs w:val="22"/>
        </w:rPr>
        <w:t>Det kan fremhæves, at hovedparten af alle uddannelsessteder har udarbejdet den lovpligtige antimobbestrategi</w:t>
      </w:r>
      <w:r w:rsidR="00885A8F" w:rsidRPr="000D4513">
        <w:rPr>
          <w:szCs w:val="22"/>
        </w:rPr>
        <w:t xml:space="preserve">. Samtidig har brugen af klageordningen og klageinstansen været stigende siden indførelsen i 2017. I 2019 behandlede instansen 120 klager mod 10 klager i 2017. </w:t>
      </w:r>
    </w:p>
    <w:p w14:paraId="1A8B4BB8" w14:textId="77777777" w:rsidR="00885A8F" w:rsidRPr="000D4513" w:rsidRDefault="00885A8F" w:rsidP="00885A8F">
      <w:pPr>
        <w:pStyle w:val="Brdtekst"/>
        <w:rPr>
          <w:szCs w:val="22"/>
        </w:rPr>
      </w:pPr>
    </w:p>
    <w:p w14:paraId="412E717B" w14:textId="25660A65" w:rsidR="00885A8F" w:rsidRPr="000D4513" w:rsidRDefault="00E2355D" w:rsidP="00885A8F">
      <w:pPr>
        <w:pStyle w:val="Brdtekst"/>
        <w:rPr>
          <w:szCs w:val="22"/>
        </w:rPr>
      </w:pPr>
      <w:r>
        <w:rPr>
          <w:szCs w:val="22"/>
        </w:rPr>
        <w:t>Evalueringen og høringen</w:t>
      </w:r>
      <w:r w:rsidRPr="000D4513">
        <w:rPr>
          <w:szCs w:val="22"/>
        </w:rPr>
        <w:t xml:space="preserve"> </w:t>
      </w:r>
      <w:r w:rsidR="00885A8F" w:rsidRPr="000D4513">
        <w:rPr>
          <w:szCs w:val="22"/>
        </w:rPr>
        <w:t xml:space="preserve">viser, at der overordnet </w:t>
      </w:r>
      <w:r w:rsidR="005A4E51" w:rsidRPr="000D4513">
        <w:rPr>
          <w:szCs w:val="22"/>
        </w:rPr>
        <w:t xml:space="preserve">er </w:t>
      </w:r>
      <w:r w:rsidR="00885A8F" w:rsidRPr="000D4513">
        <w:rPr>
          <w:szCs w:val="22"/>
        </w:rPr>
        <w:t>forståelse for klageordningens og klageinstansens virkning</w:t>
      </w:r>
      <w:r>
        <w:rPr>
          <w:szCs w:val="22"/>
        </w:rPr>
        <w:t>. D</w:t>
      </w:r>
      <w:r w:rsidR="009967A9" w:rsidRPr="000D4513">
        <w:rPr>
          <w:szCs w:val="22"/>
        </w:rPr>
        <w:t xml:space="preserve">et </w:t>
      </w:r>
      <w:r>
        <w:rPr>
          <w:szCs w:val="22"/>
        </w:rPr>
        <w:t xml:space="preserve">er også </w:t>
      </w:r>
      <w:r w:rsidR="009967A9" w:rsidRPr="000D4513">
        <w:rPr>
          <w:szCs w:val="22"/>
        </w:rPr>
        <w:t>indtryk</w:t>
      </w:r>
      <w:r>
        <w:rPr>
          <w:szCs w:val="22"/>
        </w:rPr>
        <w:t>ket fra evalueringen og høringen</w:t>
      </w:r>
      <w:r w:rsidR="009967A9" w:rsidRPr="000D4513">
        <w:rPr>
          <w:szCs w:val="22"/>
        </w:rPr>
        <w:t>, at bestemmelserne om antimobning, klage</w:t>
      </w:r>
      <w:r w:rsidR="00885A8F" w:rsidRPr="000D4513">
        <w:rPr>
          <w:szCs w:val="22"/>
        </w:rPr>
        <w:t>ordning og klage</w:t>
      </w:r>
      <w:r w:rsidR="009967A9" w:rsidRPr="000D4513">
        <w:rPr>
          <w:szCs w:val="22"/>
        </w:rPr>
        <w:t xml:space="preserve">instans samt tilsyn </w:t>
      </w:r>
      <w:r w:rsidR="00885A8F" w:rsidRPr="000D4513">
        <w:rPr>
          <w:szCs w:val="22"/>
        </w:rPr>
        <w:t xml:space="preserve">på den baggrund </w:t>
      </w:r>
      <w:r w:rsidR="00402F94" w:rsidRPr="000D4513">
        <w:rPr>
          <w:szCs w:val="22"/>
        </w:rPr>
        <w:t xml:space="preserve">grundlæggende </w:t>
      </w:r>
      <w:r w:rsidR="00885A8F" w:rsidRPr="000D4513">
        <w:rPr>
          <w:szCs w:val="22"/>
        </w:rPr>
        <w:t>har været til gavn for det konkrete arbejde mod mobning på uddannelsesstederne.</w:t>
      </w:r>
    </w:p>
    <w:p w14:paraId="57719BB3" w14:textId="77777777" w:rsidR="009967A9" w:rsidRPr="000D4513" w:rsidRDefault="009967A9" w:rsidP="009967A9">
      <w:pPr>
        <w:rPr>
          <w:szCs w:val="22"/>
        </w:rPr>
      </w:pPr>
    </w:p>
    <w:p w14:paraId="3C6EFAE5" w14:textId="43DA7D16" w:rsidR="009967A9" w:rsidRPr="000D4513" w:rsidRDefault="00E2355D" w:rsidP="009967A9">
      <w:pPr>
        <w:rPr>
          <w:rFonts w:eastAsia="Times New Roman" w:cs="Times New Roman"/>
          <w:color w:val="000000"/>
          <w:szCs w:val="22"/>
          <w:lang w:eastAsia="da-DK"/>
        </w:rPr>
      </w:pPr>
      <w:r>
        <w:rPr>
          <w:szCs w:val="22"/>
        </w:rPr>
        <w:t>Evalueringen og høringen</w:t>
      </w:r>
      <w:r w:rsidRPr="000D4513">
        <w:rPr>
          <w:szCs w:val="22"/>
        </w:rPr>
        <w:t xml:space="preserve"> </w:t>
      </w:r>
      <w:r w:rsidR="009967A9" w:rsidRPr="000D4513">
        <w:rPr>
          <w:rFonts w:eastAsia="Times New Roman" w:cs="Times New Roman"/>
          <w:color w:val="000000"/>
          <w:szCs w:val="22"/>
          <w:lang w:eastAsia="da-DK"/>
        </w:rPr>
        <w:t>viser</w:t>
      </w:r>
      <w:r>
        <w:rPr>
          <w:rFonts w:eastAsia="Times New Roman" w:cs="Times New Roman"/>
          <w:color w:val="000000"/>
          <w:szCs w:val="22"/>
          <w:lang w:eastAsia="da-DK"/>
        </w:rPr>
        <w:t xml:space="preserve"> dog</w:t>
      </w:r>
      <w:r w:rsidR="009967A9" w:rsidRPr="000D4513">
        <w:rPr>
          <w:rFonts w:eastAsia="Times New Roman" w:cs="Times New Roman"/>
          <w:color w:val="000000"/>
          <w:szCs w:val="22"/>
          <w:lang w:eastAsia="da-DK"/>
        </w:rPr>
        <w:t xml:space="preserve"> </w:t>
      </w:r>
      <w:r w:rsidR="00885A8F" w:rsidRPr="000D4513">
        <w:rPr>
          <w:rFonts w:eastAsia="Times New Roman" w:cs="Times New Roman"/>
          <w:color w:val="000000"/>
          <w:szCs w:val="22"/>
          <w:lang w:eastAsia="da-DK"/>
        </w:rPr>
        <w:t>som nævnt også</w:t>
      </w:r>
      <w:r w:rsidR="0082436A" w:rsidRPr="000D4513">
        <w:rPr>
          <w:rFonts w:eastAsia="Times New Roman" w:cs="Times New Roman"/>
          <w:color w:val="000000"/>
          <w:szCs w:val="22"/>
          <w:lang w:eastAsia="da-DK"/>
        </w:rPr>
        <w:t>,</w:t>
      </w:r>
      <w:r w:rsidR="009967A9" w:rsidRPr="000D4513">
        <w:rPr>
          <w:rFonts w:eastAsia="Times New Roman" w:cs="Times New Roman"/>
          <w:color w:val="000000"/>
          <w:szCs w:val="22"/>
          <w:lang w:eastAsia="da-DK"/>
        </w:rPr>
        <w:t xml:space="preserve"> at bestemmelserne om og proced</w:t>
      </w:r>
      <w:r w:rsidR="00885A8F" w:rsidRPr="000D4513">
        <w:rPr>
          <w:rFonts w:eastAsia="Times New Roman" w:cs="Times New Roman"/>
          <w:color w:val="000000"/>
          <w:szCs w:val="22"/>
          <w:lang w:eastAsia="da-DK"/>
        </w:rPr>
        <w:t>urerne i forbindelse med</w:t>
      </w:r>
      <w:r w:rsidR="009967A9" w:rsidRPr="000D4513">
        <w:rPr>
          <w:rFonts w:eastAsia="Times New Roman" w:cs="Times New Roman"/>
          <w:color w:val="000000"/>
          <w:szCs w:val="22"/>
          <w:lang w:eastAsia="da-DK"/>
        </w:rPr>
        <w:t xml:space="preserve"> </w:t>
      </w:r>
      <w:r w:rsidR="009967A9" w:rsidRPr="000D4513">
        <w:rPr>
          <w:szCs w:val="22"/>
        </w:rPr>
        <w:t>antimobbestrategier, handlingsplaner og klage</w:t>
      </w:r>
      <w:r w:rsidR="00EA7957" w:rsidRPr="000D4513">
        <w:rPr>
          <w:rFonts w:eastAsia="Times New Roman" w:cs="Times New Roman"/>
          <w:color w:val="000000"/>
          <w:szCs w:val="22"/>
          <w:lang w:eastAsia="da-DK"/>
        </w:rPr>
        <w:t>ordning</w:t>
      </w:r>
      <w:r w:rsidR="009967A9" w:rsidRPr="000D4513">
        <w:rPr>
          <w:rFonts w:eastAsia="Times New Roman" w:cs="Times New Roman"/>
          <w:color w:val="000000"/>
          <w:szCs w:val="22"/>
          <w:lang w:eastAsia="da-DK"/>
        </w:rPr>
        <w:t xml:space="preserve"> kan</w:t>
      </w:r>
      <w:r w:rsidR="0082436A" w:rsidRPr="000D4513">
        <w:rPr>
          <w:rFonts w:eastAsia="Times New Roman" w:cs="Times New Roman"/>
          <w:color w:val="000000"/>
          <w:szCs w:val="22"/>
          <w:lang w:eastAsia="da-DK"/>
        </w:rPr>
        <w:t xml:space="preserve"> </w:t>
      </w:r>
      <w:r w:rsidR="009967A9" w:rsidRPr="000D4513">
        <w:rPr>
          <w:rFonts w:eastAsia="Times New Roman" w:cs="Times New Roman"/>
          <w:color w:val="000000"/>
          <w:szCs w:val="22"/>
          <w:lang w:eastAsia="da-DK"/>
        </w:rPr>
        <w:t>forbedres og forfines</w:t>
      </w:r>
      <w:r w:rsidR="0082436A" w:rsidRPr="000D4513">
        <w:rPr>
          <w:rFonts w:eastAsia="Times New Roman" w:cs="Times New Roman"/>
          <w:color w:val="000000"/>
          <w:szCs w:val="22"/>
          <w:lang w:eastAsia="da-DK"/>
        </w:rPr>
        <w:t xml:space="preserve"> på en række områder</w:t>
      </w:r>
      <w:r w:rsidR="009967A9" w:rsidRPr="000D4513">
        <w:rPr>
          <w:rFonts w:eastAsia="Times New Roman" w:cs="Times New Roman"/>
          <w:color w:val="000000"/>
          <w:szCs w:val="22"/>
          <w:lang w:eastAsia="da-DK"/>
        </w:rPr>
        <w:t>.</w:t>
      </w:r>
    </w:p>
    <w:p w14:paraId="089BE701" w14:textId="3DC2413D" w:rsidR="009967A9" w:rsidRPr="000D4513" w:rsidRDefault="009967A9" w:rsidP="009967A9">
      <w:pPr>
        <w:rPr>
          <w:rFonts w:eastAsia="Times New Roman" w:cs="Times New Roman"/>
          <w:color w:val="000000"/>
          <w:szCs w:val="22"/>
          <w:lang w:eastAsia="da-DK"/>
        </w:rPr>
      </w:pPr>
    </w:p>
    <w:p w14:paraId="71A718CC" w14:textId="3907D088" w:rsidR="0082436A" w:rsidRPr="000D4513" w:rsidRDefault="00885A8F" w:rsidP="00885A8F">
      <w:pPr>
        <w:rPr>
          <w:szCs w:val="22"/>
        </w:rPr>
      </w:pPr>
      <w:r w:rsidRPr="000D4513">
        <w:rPr>
          <w:szCs w:val="22"/>
        </w:rPr>
        <w:t>Det er på den</w:t>
      </w:r>
      <w:r w:rsidR="00DA7777" w:rsidRPr="000D4513">
        <w:rPr>
          <w:szCs w:val="22"/>
        </w:rPr>
        <w:t xml:space="preserve"> anførte</w:t>
      </w:r>
      <w:r w:rsidRPr="000D4513">
        <w:rPr>
          <w:szCs w:val="22"/>
        </w:rPr>
        <w:t xml:space="preserve"> baggrund ministeriets </w:t>
      </w:r>
      <w:r w:rsidR="0082436A" w:rsidRPr="000D4513">
        <w:rPr>
          <w:szCs w:val="22"/>
        </w:rPr>
        <w:t xml:space="preserve">overordnede </w:t>
      </w:r>
      <w:r w:rsidRPr="000D4513">
        <w:rPr>
          <w:szCs w:val="22"/>
        </w:rPr>
        <w:t xml:space="preserve">anbefaling, at de nye ordninger videreføres. </w:t>
      </w:r>
    </w:p>
    <w:p w14:paraId="0F5D66F3" w14:textId="77777777" w:rsidR="0082436A" w:rsidRPr="000D4513" w:rsidRDefault="0082436A" w:rsidP="00885A8F">
      <w:pPr>
        <w:rPr>
          <w:szCs w:val="22"/>
        </w:rPr>
      </w:pPr>
    </w:p>
    <w:p w14:paraId="7FB830DD" w14:textId="5DB823A4" w:rsidR="00885A8F" w:rsidRPr="000D4513" w:rsidRDefault="00885A8F" w:rsidP="00885A8F">
      <w:pPr>
        <w:rPr>
          <w:szCs w:val="22"/>
        </w:rPr>
      </w:pPr>
      <w:r w:rsidRPr="000D4513">
        <w:rPr>
          <w:szCs w:val="22"/>
        </w:rPr>
        <w:t>For så vidt</w:t>
      </w:r>
      <w:r w:rsidR="0082436A" w:rsidRPr="000D4513">
        <w:rPr>
          <w:szCs w:val="22"/>
        </w:rPr>
        <w:t xml:space="preserve"> angår klageordningen og klageinstansen forudsætter imødekommelse af denne anbefaling, at Folketinget vedtager en ændring af den solnedgangsklausul, som indebærer, at disse ordninger automatisk ophører den 31. juli 2022.</w:t>
      </w:r>
    </w:p>
    <w:p w14:paraId="7C3C3413" w14:textId="591718B9" w:rsidR="0082436A" w:rsidRPr="000D4513" w:rsidRDefault="0082436A" w:rsidP="00885A8F">
      <w:pPr>
        <w:rPr>
          <w:szCs w:val="22"/>
        </w:rPr>
      </w:pPr>
    </w:p>
    <w:p w14:paraId="661C5E73" w14:textId="5DAEE385" w:rsidR="0082436A" w:rsidRPr="000D4513" w:rsidRDefault="0082436A" w:rsidP="00885A8F">
      <w:pPr>
        <w:rPr>
          <w:szCs w:val="22"/>
        </w:rPr>
      </w:pPr>
      <w:r w:rsidRPr="000D4513">
        <w:rPr>
          <w:szCs w:val="22"/>
        </w:rPr>
        <w:t xml:space="preserve">I den henseende er det ministeriets anbefaling, at solnedgangsklausulen ophæves, og at klageordningen og klageinstansen gøres permanent på linje med bestemmelserne om antimobning og tilsyn. </w:t>
      </w:r>
    </w:p>
    <w:p w14:paraId="7FE52DBC" w14:textId="07E3121C" w:rsidR="0082436A" w:rsidRPr="000D4513" w:rsidRDefault="0082436A" w:rsidP="00885A8F">
      <w:pPr>
        <w:rPr>
          <w:szCs w:val="22"/>
        </w:rPr>
      </w:pPr>
    </w:p>
    <w:p w14:paraId="6395C5F1" w14:textId="3C8CD1C1" w:rsidR="00DA7777" w:rsidRPr="000D4513" w:rsidRDefault="0082436A" w:rsidP="00DA7777">
      <w:pPr>
        <w:rPr>
          <w:szCs w:val="22"/>
        </w:rPr>
      </w:pPr>
      <w:r w:rsidRPr="000D4513">
        <w:rPr>
          <w:szCs w:val="22"/>
        </w:rPr>
        <w:t>Anbefalingen om videreførelse af klageordningen og klageinstansen vil dog også kunne imødekommes ved at udskyde det tidspunkt, hvor solnedgangsklausulen</w:t>
      </w:r>
      <w:r w:rsidR="00EA7957" w:rsidRPr="000D4513">
        <w:rPr>
          <w:szCs w:val="22"/>
        </w:rPr>
        <w:t xml:space="preserve"> får effekt</w:t>
      </w:r>
      <w:r w:rsidRPr="000D4513">
        <w:rPr>
          <w:szCs w:val="22"/>
        </w:rPr>
        <w:t>.</w:t>
      </w:r>
      <w:r w:rsidR="00DA7777" w:rsidRPr="000D4513">
        <w:rPr>
          <w:szCs w:val="22"/>
        </w:rPr>
        <w:t xml:space="preserve"> En sådan løsning vil efter ministeriets opfattelse ikke sende et nær så effektivt signal til de involverede sektorer.</w:t>
      </w:r>
    </w:p>
    <w:p w14:paraId="766FEFB2" w14:textId="77777777" w:rsidR="00EA7957" w:rsidRPr="000D4513" w:rsidRDefault="00EA7957" w:rsidP="00885A8F">
      <w:pPr>
        <w:rPr>
          <w:szCs w:val="22"/>
        </w:rPr>
      </w:pPr>
    </w:p>
    <w:p w14:paraId="58378B0A" w14:textId="0D9AB3AC" w:rsidR="00885A8F" w:rsidRPr="000D4513" w:rsidRDefault="00DA7777" w:rsidP="00885A8F">
      <w:pPr>
        <w:rPr>
          <w:rFonts w:eastAsia="Times New Roman" w:cs="Times New Roman"/>
          <w:color w:val="000000"/>
          <w:szCs w:val="22"/>
          <w:lang w:eastAsia="da-DK"/>
        </w:rPr>
      </w:pPr>
      <w:r w:rsidRPr="000D4513">
        <w:rPr>
          <w:szCs w:val="22"/>
        </w:rPr>
        <w:t xml:space="preserve">Et lovforslag om ændring af solnedgangsklausulen vil senest skulle fremsættes for Folketinget i </w:t>
      </w:r>
      <w:r w:rsidR="0028226B">
        <w:rPr>
          <w:szCs w:val="22"/>
        </w:rPr>
        <w:t>f</w:t>
      </w:r>
      <w:r w:rsidR="00AE3EE0">
        <w:rPr>
          <w:szCs w:val="22"/>
        </w:rPr>
        <w:t>olketingssamlingen 2021-22</w:t>
      </w:r>
      <w:r w:rsidRPr="000D4513">
        <w:rPr>
          <w:szCs w:val="22"/>
        </w:rPr>
        <w:t>.</w:t>
      </w:r>
    </w:p>
    <w:p w14:paraId="28230316" w14:textId="77777777" w:rsidR="00885A8F" w:rsidRPr="000D4513" w:rsidRDefault="00885A8F" w:rsidP="009967A9">
      <w:pPr>
        <w:rPr>
          <w:rFonts w:eastAsia="Times New Roman" w:cs="Times New Roman"/>
          <w:color w:val="000000"/>
          <w:szCs w:val="22"/>
          <w:lang w:eastAsia="da-DK"/>
        </w:rPr>
      </w:pPr>
    </w:p>
    <w:p w14:paraId="614ED32F" w14:textId="36BC5B8D" w:rsidR="0082436A" w:rsidRPr="000D4513" w:rsidRDefault="00885A8F" w:rsidP="00DA7777">
      <w:pPr>
        <w:rPr>
          <w:rFonts w:eastAsia="Times New Roman" w:cs="Times New Roman"/>
          <w:color w:val="000000"/>
          <w:szCs w:val="22"/>
          <w:lang w:eastAsia="da-DK"/>
        </w:rPr>
      </w:pPr>
      <w:r w:rsidRPr="000D4513">
        <w:rPr>
          <w:rFonts w:eastAsia="Times New Roman" w:cs="Times New Roman"/>
          <w:color w:val="000000"/>
          <w:szCs w:val="22"/>
          <w:lang w:eastAsia="da-DK"/>
        </w:rPr>
        <w:t>Mi</w:t>
      </w:r>
      <w:r w:rsidR="009967A9" w:rsidRPr="000D4513">
        <w:rPr>
          <w:rFonts w:eastAsia="Times New Roman" w:cs="Times New Roman"/>
          <w:color w:val="000000"/>
          <w:szCs w:val="22"/>
          <w:lang w:eastAsia="da-DK"/>
        </w:rPr>
        <w:t>nisteriet</w:t>
      </w:r>
      <w:r w:rsidRPr="000D4513">
        <w:rPr>
          <w:rFonts w:eastAsia="Times New Roman" w:cs="Times New Roman"/>
          <w:color w:val="000000"/>
          <w:szCs w:val="22"/>
          <w:lang w:eastAsia="da-DK"/>
        </w:rPr>
        <w:t xml:space="preserve"> anbefaler endvidere, at </w:t>
      </w:r>
      <w:r w:rsidR="000D4513" w:rsidRPr="000D4513">
        <w:rPr>
          <w:rFonts w:eastAsia="Times New Roman" w:cs="Times New Roman"/>
          <w:color w:val="000000"/>
          <w:szCs w:val="22"/>
          <w:lang w:eastAsia="da-DK"/>
        </w:rPr>
        <w:t xml:space="preserve">der med inddragelse af relevante eksterne parter udarbejdes </w:t>
      </w:r>
      <w:r w:rsidR="00DA7777" w:rsidRPr="000D4513">
        <w:rPr>
          <w:rFonts w:eastAsia="Times New Roman" w:cs="Times New Roman"/>
          <w:color w:val="000000"/>
          <w:szCs w:val="22"/>
          <w:lang w:eastAsia="da-DK"/>
        </w:rPr>
        <w:t>et oplæg til relevant</w:t>
      </w:r>
      <w:r w:rsidR="00E2355D">
        <w:rPr>
          <w:rFonts w:eastAsia="Times New Roman" w:cs="Times New Roman"/>
          <w:color w:val="000000"/>
          <w:szCs w:val="22"/>
          <w:lang w:eastAsia="da-DK"/>
        </w:rPr>
        <w:t>e</w:t>
      </w:r>
      <w:r w:rsidR="00DA7777" w:rsidRPr="000D4513">
        <w:rPr>
          <w:rFonts w:eastAsia="Times New Roman" w:cs="Times New Roman"/>
          <w:color w:val="000000"/>
          <w:szCs w:val="22"/>
          <w:lang w:eastAsia="da-DK"/>
        </w:rPr>
        <w:t xml:space="preserve"> </w:t>
      </w:r>
      <w:r w:rsidR="00E2355D">
        <w:rPr>
          <w:rFonts w:eastAsia="Times New Roman" w:cs="Times New Roman"/>
          <w:color w:val="000000"/>
          <w:szCs w:val="22"/>
          <w:lang w:eastAsia="da-DK"/>
        </w:rPr>
        <w:t>forbedringer af indholdet af de nye ordninger, herunder evt. forslag til nødvendige lovændringer</w:t>
      </w:r>
      <w:r w:rsidR="00DA7777" w:rsidRPr="000D4513">
        <w:rPr>
          <w:rFonts w:eastAsia="Times New Roman" w:cs="Times New Roman"/>
          <w:color w:val="000000"/>
          <w:szCs w:val="22"/>
          <w:lang w:eastAsia="da-DK"/>
        </w:rPr>
        <w:t xml:space="preserve"> med </w:t>
      </w:r>
      <w:r w:rsidR="00DE3B99" w:rsidRPr="000D4513">
        <w:rPr>
          <w:rFonts w:eastAsia="Times New Roman" w:cs="Times New Roman"/>
          <w:color w:val="000000"/>
          <w:szCs w:val="22"/>
          <w:lang w:eastAsia="da-DK"/>
        </w:rPr>
        <w:t xml:space="preserve">henblik på politisk drøftelse og </w:t>
      </w:r>
      <w:r w:rsidR="00DA7777" w:rsidRPr="000D4513">
        <w:rPr>
          <w:rFonts w:eastAsia="Times New Roman" w:cs="Times New Roman"/>
          <w:color w:val="000000"/>
          <w:szCs w:val="22"/>
          <w:lang w:eastAsia="da-DK"/>
        </w:rPr>
        <w:t xml:space="preserve">stillingtagen samt </w:t>
      </w:r>
      <w:r w:rsidR="00EA7957" w:rsidRPr="000D4513">
        <w:rPr>
          <w:rFonts w:eastAsia="Times New Roman" w:cs="Times New Roman"/>
          <w:color w:val="000000"/>
          <w:szCs w:val="22"/>
          <w:lang w:eastAsia="da-DK"/>
        </w:rPr>
        <w:t xml:space="preserve">eventuel </w:t>
      </w:r>
      <w:r w:rsidR="00DA7777" w:rsidRPr="000D4513">
        <w:rPr>
          <w:rFonts w:eastAsia="Times New Roman" w:cs="Times New Roman"/>
          <w:color w:val="000000"/>
          <w:szCs w:val="22"/>
          <w:lang w:eastAsia="da-DK"/>
        </w:rPr>
        <w:t>efterfølgende</w:t>
      </w:r>
      <w:r w:rsidR="00DE3B99" w:rsidRPr="000D4513">
        <w:rPr>
          <w:rFonts w:eastAsia="Times New Roman" w:cs="Times New Roman"/>
          <w:color w:val="000000"/>
          <w:szCs w:val="22"/>
          <w:lang w:eastAsia="da-DK"/>
        </w:rPr>
        <w:t xml:space="preserve"> fremsættelse af lovforslag </w:t>
      </w:r>
      <w:r w:rsidR="00DA7777" w:rsidRPr="000D4513">
        <w:rPr>
          <w:rFonts w:eastAsia="Times New Roman" w:cs="Times New Roman"/>
          <w:color w:val="000000"/>
          <w:szCs w:val="22"/>
          <w:lang w:eastAsia="da-DK"/>
        </w:rPr>
        <w:t xml:space="preserve">vedrørende relevant tilpasning af </w:t>
      </w:r>
      <w:r w:rsidR="00EA7957" w:rsidRPr="000D4513">
        <w:rPr>
          <w:rFonts w:eastAsia="Times New Roman" w:cs="Times New Roman"/>
          <w:color w:val="000000"/>
          <w:szCs w:val="22"/>
          <w:lang w:eastAsia="da-DK"/>
        </w:rPr>
        <w:t>loven</w:t>
      </w:r>
      <w:r w:rsidR="00DE3B99" w:rsidRPr="000D4513">
        <w:rPr>
          <w:rFonts w:eastAsia="Times New Roman" w:cs="Times New Roman"/>
          <w:color w:val="000000"/>
          <w:szCs w:val="22"/>
          <w:lang w:eastAsia="da-DK"/>
        </w:rPr>
        <w:t>.</w:t>
      </w:r>
    </w:p>
    <w:p w14:paraId="51937C51" w14:textId="02C8B88E" w:rsidR="0082436A" w:rsidRPr="000D4513" w:rsidRDefault="0082436A" w:rsidP="009967A9">
      <w:pPr>
        <w:rPr>
          <w:rFonts w:eastAsia="Times New Roman" w:cs="Times New Roman"/>
          <w:color w:val="000000"/>
          <w:szCs w:val="22"/>
          <w:lang w:eastAsia="da-DK"/>
        </w:rPr>
      </w:pPr>
    </w:p>
    <w:p w14:paraId="695CD084" w14:textId="2E826439" w:rsidR="00DA7777" w:rsidRPr="000D4513" w:rsidRDefault="00DA7777" w:rsidP="009967A9">
      <w:pPr>
        <w:rPr>
          <w:rFonts w:eastAsia="Times New Roman" w:cs="Times New Roman"/>
          <w:color w:val="000000"/>
          <w:szCs w:val="22"/>
          <w:lang w:eastAsia="da-DK"/>
        </w:rPr>
      </w:pPr>
      <w:r w:rsidRPr="000D4513">
        <w:rPr>
          <w:rFonts w:eastAsia="Times New Roman" w:cs="Times New Roman"/>
          <w:color w:val="000000"/>
          <w:szCs w:val="22"/>
          <w:lang w:eastAsia="da-DK"/>
        </w:rPr>
        <w:t xml:space="preserve">Ministeriet anbefaler i denne henseende, at der i </w:t>
      </w:r>
      <w:r w:rsidR="003F1782">
        <w:rPr>
          <w:rFonts w:eastAsia="Times New Roman" w:cs="Times New Roman"/>
          <w:color w:val="000000"/>
          <w:szCs w:val="22"/>
          <w:lang w:eastAsia="da-DK"/>
        </w:rPr>
        <w:t xml:space="preserve">denne </w:t>
      </w:r>
      <w:r w:rsidRPr="000D4513">
        <w:rPr>
          <w:rFonts w:eastAsia="Times New Roman" w:cs="Times New Roman"/>
          <w:color w:val="000000"/>
          <w:szCs w:val="22"/>
          <w:lang w:eastAsia="da-DK"/>
        </w:rPr>
        <w:t xml:space="preserve">proces arbejdes </w:t>
      </w:r>
      <w:r w:rsidR="00701A69" w:rsidRPr="000D4513">
        <w:rPr>
          <w:rFonts w:eastAsia="Times New Roman" w:cs="Times New Roman"/>
          <w:color w:val="000000"/>
          <w:szCs w:val="22"/>
          <w:lang w:eastAsia="da-DK"/>
        </w:rPr>
        <w:t xml:space="preserve">med forslag til tilpasninger </w:t>
      </w:r>
      <w:r w:rsidRPr="000D4513">
        <w:rPr>
          <w:rFonts w:eastAsia="Times New Roman" w:cs="Times New Roman"/>
          <w:color w:val="000000"/>
          <w:szCs w:val="22"/>
          <w:lang w:eastAsia="da-DK"/>
        </w:rPr>
        <w:t>ud fra følgende pejlemærker.</w:t>
      </w:r>
    </w:p>
    <w:p w14:paraId="155FAF50" w14:textId="11F08FBE" w:rsidR="0082436A" w:rsidRPr="000D4513" w:rsidRDefault="0082436A" w:rsidP="009967A9">
      <w:pPr>
        <w:rPr>
          <w:rFonts w:eastAsia="Times New Roman" w:cs="Times New Roman"/>
          <w:color w:val="000000"/>
          <w:szCs w:val="22"/>
          <w:lang w:eastAsia="da-DK"/>
        </w:rPr>
      </w:pPr>
    </w:p>
    <w:p w14:paraId="5C244F16" w14:textId="77777777" w:rsidR="00DA7777" w:rsidRPr="000D4513" w:rsidRDefault="00DA7777" w:rsidP="00DA7777">
      <w:pPr>
        <w:shd w:val="clear" w:color="auto" w:fill="FFFFFF"/>
        <w:rPr>
          <w:rFonts w:eastAsia="Times New Roman" w:cs="Times New Roman"/>
          <w:color w:val="000000"/>
          <w:szCs w:val="22"/>
          <w:u w:val="single"/>
          <w:lang w:eastAsia="da-DK"/>
        </w:rPr>
      </w:pPr>
      <w:r w:rsidRPr="000D4513">
        <w:rPr>
          <w:rFonts w:eastAsia="Times New Roman" w:cs="Times New Roman"/>
          <w:color w:val="000000"/>
          <w:szCs w:val="22"/>
          <w:u w:val="single"/>
          <w:lang w:eastAsia="da-DK"/>
        </w:rPr>
        <w:t>Pejlemærke 1 – begrebet mobning og mobbesyn</w:t>
      </w:r>
    </w:p>
    <w:p w14:paraId="252A8E4C" w14:textId="4952A4C7" w:rsidR="0007679D" w:rsidRPr="000D4513" w:rsidRDefault="0007679D" w:rsidP="0007679D">
      <w:pPr>
        <w:pStyle w:val="Opstilling-punkttegn"/>
      </w:pPr>
      <w:r w:rsidRPr="000D4513">
        <w:t xml:space="preserve">Behovet for at præcisere forståelsen af, hvad mobning er (formuleringen "mobning eller lignende"). </w:t>
      </w:r>
    </w:p>
    <w:p w14:paraId="3F1ED704" w14:textId="77777777" w:rsidR="001B3A44" w:rsidRPr="000D4513" w:rsidRDefault="001B3A44" w:rsidP="001B3A44">
      <w:pPr>
        <w:pStyle w:val="Opstilling-punkttegn"/>
      </w:pPr>
      <w:r w:rsidRPr="000D4513">
        <w:t>Behovet for præciseringer vedrørende lovens generelle mobbesyn.</w:t>
      </w:r>
    </w:p>
    <w:p w14:paraId="1D35BD3B" w14:textId="5B4BBA58" w:rsidR="00900D58" w:rsidRPr="000D4513" w:rsidRDefault="0007679D" w:rsidP="001B3A44">
      <w:pPr>
        <w:pStyle w:val="Opstilling-punkttegn"/>
      </w:pPr>
      <w:r w:rsidRPr="000D4513">
        <w:t xml:space="preserve">Overvejelse af, hvorvidt antimobbebestemmelserne bør have større fokus på den potentielt mobbede elevs perspektiv og egen </w:t>
      </w:r>
      <w:r w:rsidR="00900D58" w:rsidRPr="000D4513">
        <w:t>oplevelse af en given situation</w:t>
      </w:r>
      <w:r w:rsidR="00484ABC">
        <w:t>.</w:t>
      </w:r>
      <w:r w:rsidR="00900D58" w:rsidRPr="000D4513">
        <w:t xml:space="preserve"> </w:t>
      </w:r>
    </w:p>
    <w:p w14:paraId="5FA1544F" w14:textId="377628B9" w:rsidR="0007679D" w:rsidRPr="000D4513" w:rsidRDefault="0007679D" w:rsidP="001B3A44">
      <w:pPr>
        <w:pStyle w:val="Opstilling-punkttegn"/>
      </w:pPr>
      <w:r w:rsidRPr="000D4513">
        <w:t>Overvejelse af, hvordan det praktiske arbejde med implementeringen af fælles mobbeforståelser kan tilrettelægges</w:t>
      </w:r>
      <w:r w:rsidR="00900D58" w:rsidRPr="000D4513">
        <w:t>.</w:t>
      </w:r>
    </w:p>
    <w:p w14:paraId="31FE1C28" w14:textId="77777777" w:rsidR="001B3A44" w:rsidRPr="000D4513" w:rsidRDefault="001B3A44" w:rsidP="009967A9">
      <w:pPr>
        <w:rPr>
          <w:szCs w:val="22"/>
        </w:rPr>
      </w:pPr>
    </w:p>
    <w:p w14:paraId="02DB5126" w14:textId="385B24F4" w:rsidR="009967A9" w:rsidRPr="000D4513" w:rsidRDefault="0007679D" w:rsidP="009967A9">
      <w:pPr>
        <w:rPr>
          <w:szCs w:val="22"/>
        </w:rPr>
      </w:pPr>
      <w:r w:rsidRPr="000D4513">
        <w:rPr>
          <w:rFonts w:eastAsia="Times New Roman" w:cs="Times New Roman"/>
          <w:color w:val="000000"/>
          <w:szCs w:val="22"/>
          <w:u w:val="single"/>
          <w:lang w:eastAsia="da-DK"/>
        </w:rPr>
        <w:t>Pejlemærke 2 –</w:t>
      </w:r>
      <w:r w:rsidR="009967A9" w:rsidRPr="000D4513">
        <w:rPr>
          <w:rFonts w:eastAsia="Times New Roman" w:cs="Times New Roman"/>
          <w:color w:val="000000"/>
          <w:szCs w:val="22"/>
          <w:u w:val="single"/>
          <w:lang w:eastAsia="da-DK"/>
        </w:rPr>
        <w:t xml:space="preserve"> antimobbestrategi og handlingsplaner</w:t>
      </w:r>
    </w:p>
    <w:p w14:paraId="2767C788" w14:textId="33F1780C" w:rsidR="001B3A44" w:rsidRPr="000D4513" w:rsidRDefault="001B3A44" w:rsidP="001B3A44">
      <w:pPr>
        <w:pStyle w:val="Opstilling-punkttegn"/>
      </w:pPr>
      <w:r w:rsidRPr="000D4513">
        <w:t>Behovet for, om selve lovgivningen bør indeholde en kvalificering/beskrivelse</w:t>
      </w:r>
      <w:r w:rsidR="00484ABC">
        <w:t xml:space="preserve"> af</w:t>
      </w:r>
      <w:r w:rsidRPr="000D4513">
        <w:t xml:space="preserve"> centrale</w:t>
      </w:r>
      <w:r w:rsidR="00606DAF">
        <w:t xml:space="preserve"> elementer, som kan overvejes ved udarbejdelse af </w:t>
      </w:r>
      <w:r w:rsidRPr="000D4513">
        <w:t xml:space="preserve">antimobbestrategi og/eller handlingsplan, og i givet fald hvilke. </w:t>
      </w:r>
    </w:p>
    <w:p w14:paraId="53EA6278" w14:textId="31012419" w:rsidR="00900D58" w:rsidRPr="000D4513" w:rsidRDefault="00900D58" w:rsidP="00900D58">
      <w:pPr>
        <w:pStyle w:val="Opstilling-punkttegn"/>
      </w:pPr>
      <w:r w:rsidRPr="000D4513">
        <w:t>Overvejelse af, om kompetencen til at aktivere handlepligter bør omfatte flere aktører.</w:t>
      </w:r>
    </w:p>
    <w:p w14:paraId="08BA5EB4" w14:textId="48E7F08F" w:rsidR="002A6C60" w:rsidRPr="000D4513" w:rsidRDefault="001B3A44" w:rsidP="002A6C60">
      <w:pPr>
        <w:pStyle w:val="Opstilling-punkttegn"/>
      </w:pPr>
      <w:r w:rsidRPr="000D4513">
        <w:t xml:space="preserve">Behovet for </w:t>
      </w:r>
      <w:r w:rsidR="00900D58" w:rsidRPr="000D4513">
        <w:t>et egentligt</w:t>
      </w:r>
      <w:r w:rsidRPr="000D4513">
        <w:t xml:space="preserve"> lovgivningskrav om medinddragelse i forbindelse med udarbejdelse af antimobbestrategi og/eller handlingsplan, og i givet fald hvilken form for inddragelse og af hvem.</w:t>
      </w:r>
    </w:p>
    <w:p w14:paraId="3BF8A79F" w14:textId="1C99DDE7" w:rsidR="009967A9" w:rsidRDefault="001B3A44" w:rsidP="009967A9">
      <w:pPr>
        <w:pStyle w:val="Opstilling-punkttegn"/>
      </w:pPr>
      <w:r w:rsidRPr="000D4513">
        <w:t>Behovet for et egentligt lovgivningskrav om en periodi</w:t>
      </w:r>
      <w:r w:rsidR="00900D58" w:rsidRPr="000D4513">
        <w:t>seret gennemgang af antimobbestrategien</w:t>
      </w:r>
      <w:r w:rsidRPr="000D4513">
        <w:t>.</w:t>
      </w:r>
    </w:p>
    <w:p w14:paraId="55E2BA76" w14:textId="551FED5F" w:rsidR="002A6C60" w:rsidRPr="000D4513" w:rsidRDefault="002A6C60" w:rsidP="009967A9">
      <w:pPr>
        <w:pStyle w:val="Opstilling-punkttegn"/>
      </w:pPr>
      <w:r w:rsidRPr="000D4513">
        <w:t>Behovet for</w:t>
      </w:r>
      <w:r>
        <w:t xml:space="preserve"> et krav om, at uddannelsesstedets antimobbestrategi skal offentliggøres på uddannelsesstedets hjemmeside.</w:t>
      </w:r>
    </w:p>
    <w:p w14:paraId="5DBAD681" w14:textId="77777777" w:rsidR="009967A9" w:rsidRPr="000D4513" w:rsidRDefault="009967A9" w:rsidP="009967A9">
      <w:pPr>
        <w:pStyle w:val="Opstilling-punkttegn"/>
        <w:numPr>
          <w:ilvl w:val="0"/>
          <w:numId w:val="0"/>
        </w:numPr>
      </w:pPr>
    </w:p>
    <w:p w14:paraId="58247612" w14:textId="5BE4A02D" w:rsidR="005F103D" w:rsidRPr="000D4513" w:rsidRDefault="0007679D" w:rsidP="007061AD">
      <w:pPr>
        <w:shd w:val="clear" w:color="auto" w:fill="FFFFFF"/>
        <w:rPr>
          <w:rFonts w:eastAsia="Times New Roman" w:cs="Times New Roman"/>
          <w:color w:val="000000"/>
          <w:szCs w:val="22"/>
          <w:u w:val="single"/>
          <w:lang w:eastAsia="da-DK"/>
        </w:rPr>
      </w:pPr>
      <w:r w:rsidRPr="000D4513">
        <w:rPr>
          <w:rFonts w:eastAsia="Times New Roman" w:cs="Times New Roman"/>
          <w:color w:val="000000"/>
          <w:szCs w:val="22"/>
          <w:u w:val="single"/>
          <w:lang w:eastAsia="da-DK"/>
        </w:rPr>
        <w:t>Pejlemærke 3</w:t>
      </w:r>
      <w:r w:rsidR="005F103D" w:rsidRPr="000D4513">
        <w:rPr>
          <w:rFonts w:eastAsia="Times New Roman" w:cs="Times New Roman"/>
          <w:color w:val="000000"/>
          <w:szCs w:val="22"/>
          <w:u w:val="single"/>
          <w:lang w:eastAsia="da-DK"/>
        </w:rPr>
        <w:t xml:space="preserve"> –</w:t>
      </w:r>
      <w:r w:rsidR="001B3A44" w:rsidRPr="000D4513">
        <w:rPr>
          <w:rFonts w:eastAsia="Times New Roman" w:cs="Times New Roman"/>
          <w:color w:val="000000"/>
          <w:szCs w:val="22"/>
          <w:u w:val="single"/>
          <w:lang w:eastAsia="da-DK"/>
        </w:rPr>
        <w:t xml:space="preserve"> klageordningens konstruktion</w:t>
      </w:r>
      <w:r w:rsidR="005F103D" w:rsidRPr="000D4513">
        <w:rPr>
          <w:rFonts w:eastAsia="Times New Roman" w:cs="Times New Roman"/>
          <w:color w:val="000000"/>
          <w:szCs w:val="22"/>
          <w:u w:val="single"/>
          <w:lang w:eastAsia="da-DK"/>
        </w:rPr>
        <w:t xml:space="preserve"> m.v.</w:t>
      </w:r>
    </w:p>
    <w:p w14:paraId="09650DF7" w14:textId="77777777" w:rsidR="00900D58" w:rsidRPr="000D4513" w:rsidRDefault="00701A69" w:rsidP="00701A69">
      <w:pPr>
        <w:pStyle w:val="Opstilling-punkttegn"/>
      </w:pPr>
      <w:r w:rsidRPr="000D4513">
        <w:t>Overvejelse af den samlede konstruktion af den lokale remonstrationsordning</w:t>
      </w:r>
      <w:r w:rsidR="00900D58" w:rsidRPr="000D4513">
        <w:t>.</w:t>
      </w:r>
    </w:p>
    <w:p w14:paraId="175EEA6A" w14:textId="5217F88A" w:rsidR="00701A69" w:rsidRPr="000D4513" w:rsidRDefault="00900D58" w:rsidP="00900D58">
      <w:pPr>
        <w:pStyle w:val="Opstilling-punkttegn"/>
      </w:pPr>
      <w:r w:rsidRPr="000D4513">
        <w:t>I sammenhæng hermed overvejelse af ordningens</w:t>
      </w:r>
      <w:r w:rsidR="00701A69" w:rsidRPr="000D4513">
        <w:t xml:space="preserve"> gennerelle hensigtsmæssighed versus evt. overgang til direkte klageadgang til DCUM</w:t>
      </w:r>
      <w:r w:rsidRPr="000D4513">
        <w:t>, herunder evt. om uddannelsesstedet (og dermed lederen) bør tages ud af første instans.</w:t>
      </w:r>
    </w:p>
    <w:p w14:paraId="080354D2" w14:textId="3D318254" w:rsidR="00701A69" w:rsidRPr="000D4513" w:rsidRDefault="00701A69" w:rsidP="00701A69">
      <w:pPr>
        <w:pStyle w:val="Opstilling-punkttegn"/>
      </w:pPr>
      <w:r w:rsidRPr="000D4513">
        <w:t>Overvejelse af, hvordan "forvaltningsfokus</w:t>
      </w:r>
      <w:r w:rsidR="00900D58" w:rsidRPr="000D4513">
        <w:t xml:space="preserve"> i sagsbehandlingen</w:t>
      </w:r>
      <w:r w:rsidRPr="000D4513">
        <w:t>" yderligere kan understøttes</w:t>
      </w:r>
      <w:r w:rsidR="00900D58" w:rsidRPr="000D4513">
        <w:t xml:space="preserve"> og tydeliggøres uden væsentligt øget ressourceanvendelse</w:t>
      </w:r>
      <w:r w:rsidRPr="000D4513">
        <w:t>.</w:t>
      </w:r>
    </w:p>
    <w:p w14:paraId="2F6194ED" w14:textId="0C93AD9D" w:rsidR="00900D58" w:rsidRPr="000D4513" w:rsidRDefault="00900D58" w:rsidP="00E664EA">
      <w:pPr>
        <w:pStyle w:val="Opstilling-punkttegn"/>
      </w:pPr>
      <w:r w:rsidRPr="000D4513">
        <w:t xml:space="preserve">Overvejelse af, hvordan såvel </w:t>
      </w:r>
      <w:proofErr w:type="spellStart"/>
      <w:r w:rsidRPr="000D4513">
        <w:t>STUKs</w:t>
      </w:r>
      <w:proofErr w:type="spellEnd"/>
      <w:r w:rsidRPr="000D4513">
        <w:t xml:space="preserve"> </w:t>
      </w:r>
      <w:r w:rsidR="005E6348" w:rsidRPr="000D4513">
        <w:t xml:space="preserve">som evt. lokale </w:t>
      </w:r>
      <w:r w:rsidRPr="000D4513">
        <w:t>mediering</w:t>
      </w:r>
      <w:r w:rsidR="005E6348" w:rsidRPr="000D4513">
        <w:t>stilbud kan anvendes som en mere integreret del af klageordningen.</w:t>
      </w:r>
    </w:p>
    <w:p w14:paraId="14F711F1" w14:textId="2AEDD701" w:rsidR="00701A69" w:rsidRPr="000D4513" w:rsidRDefault="00701A69" w:rsidP="00701A69">
      <w:pPr>
        <w:pStyle w:val="Brdtekst"/>
      </w:pPr>
    </w:p>
    <w:p w14:paraId="126F1DD5" w14:textId="1DF6835E" w:rsidR="00701A69" w:rsidRPr="000D4513" w:rsidRDefault="00701A69" w:rsidP="00701A69">
      <w:pPr>
        <w:shd w:val="clear" w:color="auto" w:fill="FFFFFF"/>
        <w:rPr>
          <w:rFonts w:eastAsia="Times New Roman" w:cs="Times New Roman"/>
          <w:color w:val="000000"/>
          <w:szCs w:val="22"/>
          <w:u w:val="single"/>
          <w:lang w:eastAsia="da-DK"/>
        </w:rPr>
      </w:pPr>
      <w:r w:rsidRPr="000D4513">
        <w:rPr>
          <w:rFonts w:eastAsia="Times New Roman" w:cs="Times New Roman"/>
          <w:color w:val="000000"/>
          <w:szCs w:val="22"/>
          <w:u w:val="single"/>
          <w:lang w:eastAsia="da-DK"/>
        </w:rPr>
        <w:t>Pejlemærke 4 – vejledning</w:t>
      </w:r>
    </w:p>
    <w:p w14:paraId="591E8A55" w14:textId="192B055B" w:rsidR="005E6348" w:rsidRPr="000D4513" w:rsidRDefault="00701A69" w:rsidP="005E6348">
      <w:pPr>
        <w:pStyle w:val="Opstilling-punkttegn"/>
      </w:pPr>
      <w:r w:rsidRPr="000D4513">
        <w:t xml:space="preserve">Behovet for at udarbejde en </w:t>
      </w:r>
      <w:r w:rsidR="00606DAF">
        <w:t>samlet vejledning til loven m.v</w:t>
      </w:r>
      <w:r w:rsidR="005E6348" w:rsidRPr="000D4513">
        <w:t>.</w:t>
      </w:r>
    </w:p>
    <w:p w14:paraId="3396B025" w14:textId="002CD229" w:rsidR="008417FE" w:rsidRPr="000D4513" w:rsidRDefault="00701A69" w:rsidP="00DA5804">
      <w:pPr>
        <w:pStyle w:val="Opstilling-punkttegn"/>
      </w:pPr>
      <w:r w:rsidRPr="000D4513">
        <w:t xml:space="preserve">I sammenhæng hermed behovet for yderligere </w:t>
      </w:r>
      <w:r w:rsidR="008417FE" w:rsidRPr="000D4513">
        <w:t>videreudvikling</w:t>
      </w:r>
      <w:r w:rsidRPr="000D4513">
        <w:t xml:space="preserve"> og implementering</w:t>
      </w:r>
      <w:r w:rsidR="008417FE" w:rsidRPr="000D4513">
        <w:t xml:space="preserve"> af DCUMs værktøjer til </w:t>
      </w:r>
      <w:r w:rsidRPr="000D4513">
        <w:t>brug i</w:t>
      </w:r>
      <w:r w:rsidR="008417FE" w:rsidRPr="000D4513">
        <w:t xml:space="preserve"> mob</w:t>
      </w:r>
      <w:r w:rsidRPr="000D4513">
        <w:t>besager</w:t>
      </w:r>
      <w:r w:rsidR="00DA5804">
        <w:t>, herunder også indholdet DCUMs ansvar og kompetencer samt snitfladen mellem DCUM og ministeriet</w:t>
      </w:r>
      <w:r w:rsidR="008417FE" w:rsidRPr="000D4513">
        <w:t xml:space="preserve">. </w:t>
      </w:r>
    </w:p>
    <w:p w14:paraId="36F03D0B" w14:textId="582D7439" w:rsidR="008417FE" w:rsidRPr="000D4513" w:rsidRDefault="00701A69" w:rsidP="00701A69">
      <w:pPr>
        <w:pStyle w:val="Opstilling-punkttegn"/>
      </w:pPr>
      <w:r w:rsidRPr="000D4513">
        <w:t>Overvejelse af, hvordan systematik i håndtering og</w:t>
      </w:r>
      <w:r w:rsidR="00900D58" w:rsidRPr="000D4513">
        <w:t xml:space="preserve"> undersøgelse af mobbesager</w:t>
      </w:r>
      <w:r w:rsidRPr="000D4513">
        <w:t xml:space="preserve"> yderligere kan understøttes.</w:t>
      </w:r>
    </w:p>
    <w:p w14:paraId="207ACC57" w14:textId="68E720EC" w:rsidR="005F103D" w:rsidRPr="000D4513" w:rsidRDefault="005F103D" w:rsidP="007061AD">
      <w:pPr>
        <w:pStyle w:val="Brdtekst"/>
        <w:rPr>
          <w:color w:val="000000"/>
          <w:szCs w:val="22"/>
        </w:rPr>
      </w:pPr>
    </w:p>
    <w:p w14:paraId="21FDE5BF" w14:textId="0BF2E68E" w:rsidR="005F103D" w:rsidRPr="00D71F74" w:rsidRDefault="002B4541" w:rsidP="007061AD">
      <w:pPr>
        <w:pStyle w:val="Brdtekst"/>
        <w:rPr>
          <w:color w:val="000000"/>
          <w:szCs w:val="22"/>
          <w:u w:val="single"/>
        </w:rPr>
      </w:pPr>
      <w:r w:rsidRPr="00D71F74">
        <w:rPr>
          <w:color w:val="000000"/>
          <w:szCs w:val="22"/>
          <w:u w:val="single"/>
        </w:rPr>
        <w:t xml:space="preserve">Pejlemærke </w:t>
      </w:r>
      <w:r w:rsidR="00900D58" w:rsidRPr="00D71F74">
        <w:rPr>
          <w:color w:val="000000"/>
          <w:szCs w:val="22"/>
          <w:u w:val="single"/>
        </w:rPr>
        <w:t>5</w:t>
      </w:r>
      <w:r w:rsidRPr="00D71F74">
        <w:rPr>
          <w:color w:val="000000"/>
          <w:szCs w:val="22"/>
          <w:u w:val="single"/>
        </w:rPr>
        <w:t xml:space="preserve"> – ungdomsuddannelser</w:t>
      </w:r>
    </w:p>
    <w:p w14:paraId="6B0A23D0" w14:textId="0DDD4775" w:rsidR="00701A69" w:rsidRPr="000D4513" w:rsidRDefault="00900D58" w:rsidP="00900D58">
      <w:pPr>
        <w:pStyle w:val="Opstilling-punkttegn"/>
      </w:pPr>
      <w:r w:rsidRPr="000D4513">
        <w:t>Behovet</w:t>
      </w:r>
      <w:r w:rsidR="00701A69" w:rsidRPr="000D4513">
        <w:t xml:space="preserve"> for andre virkemidler med hensyn til </w:t>
      </w:r>
      <w:r w:rsidRPr="000D4513">
        <w:t xml:space="preserve">navnlig </w:t>
      </w:r>
      <w:r w:rsidR="00701A69" w:rsidRPr="000D4513">
        <w:t>voksne</w:t>
      </w:r>
      <w:r w:rsidRPr="000D4513">
        <w:t xml:space="preserve"> elever på ungdomsuddannelserne</w:t>
      </w:r>
      <w:r w:rsidR="00701A69" w:rsidRPr="000D4513">
        <w:t>.</w:t>
      </w:r>
    </w:p>
    <w:p w14:paraId="6ED847C0" w14:textId="62ED3AC1" w:rsidR="007061AD" w:rsidRDefault="007061AD">
      <w:pPr>
        <w:shd w:val="clear" w:color="auto" w:fill="FFFFFF"/>
        <w:rPr>
          <w:rFonts w:eastAsia="Times New Roman" w:cs="Times New Roman"/>
          <w:color w:val="000000"/>
          <w:szCs w:val="22"/>
          <w:lang w:eastAsia="da-DK"/>
        </w:rPr>
      </w:pPr>
    </w:p>
    <w:p w14:paraId="41F3F2B4" w14:textId="5755449D" w:rsidR="00B70140" w:rsidRPr="00B70140" w:rsidRDefault="00B70140" w:rsidP="00B70140">
      <w:pPr>
        <w:pStyle w:val="Brdtekst"/>
        <w:rPr>
          <w:rFonts w:eastAsiaTheme="minorHAnsi" w:cstheme="minorBidi"/>
          <w:szCs w:val="22"/>
          <w:lang w:eastAsia="en-US"/>
        </w:rPr>
      </w:pPr>
      <w:r>
        <w:rPr>
          <w:color w:val="000000"/>
        </w:rPr>
        <w:t>Det forudsættes som udgangspunkt, at eventulle ændringer som følge af revisionsarbejdet i alt væsentligt er udgiftsneutrale samlet set.</w:t>
      </w:r>
    </w:p>
    <w:sectPr w:rsidR="00B70140" w:rsidRPr="00B70140" w:rsidSect="0018686A">
      <w:headerReference w:type="even" r:id="rId9"/>
      <w:headerReference w:type="default" r:id="rId10"/>
      <w:footerReference w:type="default" r:id="rId11"/>
      <w:headerReference w:type="first" r:id="rId12"/>
      <w:pgSz w:w="11906" w:h="16838" w:code="9"/>
      <w:pgMar w:top="1384" w:right="3686" w:bottom="567" w:left="1418"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CE0E5" w14:textId="77777777" w:rsidR="00211C0B" w:rsidRDefault="00211C0B" w:rsidP="009E4B94">
      <w:r>
        <w:separator/>
      </w:r>
    </w:p>
  </w:endnote>
  <w:endnote w:type="continuationSeparator" w:id="0">
    <w:p w14:paraId="3C65BCC8" w14:textId="77777777" w:rsidR="00211C0B" w:rsidRDefault="00211C0B"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3D5C" w14:textId="77777777" w:rsidR="00211C0B" w:rsidRPr="00681D83" w:rsidRDefault="00211C0B">
    <w:pPr>
      <w:pStyle w:val="Sidefod"/>
    </w:pPr>
    <w:r>
      <w:rPr>
        <w:noProof/>
        <w:lang w:eastAsia="da-DK"/>
      </w:rPr>
      <mc:AlternateContent>
        <mc:Choice Requires="wps">
          <w:drawing>
            <wp:anchor distT="0" distB="0" distL="114300" distR="114300" simplePos="0" relativeHeight="251666432" behindDoc="0" locked="0" layoutInCell="1" allowOverlap="1" wp14:anchorId="139A3112" wp14:editId="1D593ACF">
              <wp:simplePos x="0" y="0"/>
              <wp:positionH relativeFrom="rightMargin">
                <wp:align>right</wp:align>
              </wp:positionH>
              <wp:positionV relativeFrom="page">
                <wp:align>bottom</wp:align>
              </wp:positionV>
              <wp:extent cx="1095375" cy="5467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F5035" w14:textId="30DFC20D" w:rsidR="00211C0B" w:rsidRDefault="00211C0B"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6C4A65">
                            <w:rPr>
                              <w:rStyle w:val="Sidetal"/>
                              <w:noProof/>
                            </w:rPr>
                            <w:t>22</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A3112" id="_x0000_t202" coordsize="21600,21600" o:spt="202" path="m,l,21600r21600,l21600,xe">
              <v:stroke joinstyle="miter"/>
              <v:path gradientshapeok="t" o:connecttype="rect"/>
            </v:shapetype>
            <v:shape id="Text Box 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" filled="f" stroked="f" strokeweight=".5pt">
              <v:textbox inset="0,0,20mm,0">
                <w:txbxContent>
                  <w:p w14:paraId="72EF5035" w14:textId="30DFC20D" w:rsidR="00211C0B" w:rsidRDefault="00211C0B"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6C4A65">
                      <w:rPr>
                        <w:rStyle w:val="Sidetal"/>
                        <w:noProof/>
                      </w:rPr>
                      <w:t>22</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49AB6" w14:textId="77777777" w:rsidR="00211C0B" w:rsidRDefault="00211C0B" w:rsidP="009E4B94">
      <w:r>
        <w:separator/>
      </w:r>
    </w:p>
  </w:footnote>
  <w:footnote w:type="continuationSeparator" w:id="0">
    <w:p w14:paraId="46C43C97" w14:textId="77777777" w:rsidR="00211C0B" w:rsidRDefault="00211C0B" w:rsidP="009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62C5" w14:textId="77777777" w:rsidR="00211C0B" w:rsidRDefault="006C4A65">
    <w:pPr>
      <w:pStyle w:val="Sidehoved"/>
    </w:pPr>
    <w:r>
      <w:rPr>
        <w:noProof/>
      </w:rPr>
      <w:pict w14:anchorId="5679E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00110" o:spid="_x0000_s2050" type="#_x0000_t136" style="position:absolute;margin-left:0;margin-top:0;width:335.65pt;height:143.85pt;rotation:315;z-index:-251644928;mso-position-horizontal:center;mso-position-horizontal-relative:margin;mso-position-vertical:center;mso-position-vertical-relative:margin" o:allowincell="f" fillcolor="#a5a5a5 [2092]" stroked="f">
          <v:fill opacity=".5"/>
          <v:textpath style="font-family:&quot;Garamond&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97F1" w14:textId="77777777" w:rsidR="00211C0B" w:rsidRDefault="006C4A65">
    <w:pPr>
      <w:pStyle w:val="Sidehoved"/>
    </w:pPr>
    <w:r>
      <w:rPr>
        <w:noProof/>
      </w:rPr>
      <w:pict w14:anchorId="1D710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00111" o:spid="_x0000_s2051" type="#_x0000_t136" style="position:absolute;margin-left:0;margin-top:0;width:335.65pt;height:143.85pt;rotation:315;z-index:-251642880;mso-position-horizontal:center;mso-position-horizontal-relative:margin;mso-position-vertical:center;mso-position-vertical-relative:margin" o:allowincell="f" fillcolor="#a5a5a5 [2092]" stroked="f">
          <v:fill opacity=".5"/>
          <v:textpath style="font-family:&quot;Garamond&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0153" w14:textId="77777777" w:rsidR="00211C0B" w:rsidRDefault="006C4A65" w:rsidP="000A4751">
    <w:pPr>
      <w:pStyle w:val="Sidehoved"/>
    </w:pPr>
    <w:r>
      <w:rPr>
        <w:noProof/>
      </w:rPr>
      <w:pict w14:anchorId="0331E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00109" o:spid="_x0000_s2049" type="#_x0000_t136" style="position:absolute;margin-left:0;margin-top:0;width:335.65pt;height:143.85pt;rotation:315;z-index:-251646976;mso-position-horizontal:center;mso-position-horizontal-relative:margin;mso-position-vertical:center;mso-position-vertical-relative:margin" o:allowincell="f" fillcolor="#a5a5a5 [2092]" stroked="f">
          <v:fill opacity=".5"/>
          <v:textpath style="font-family:&quot;Garamond&quot;;font-size:1pt" string="UDKAST"/>
          <w10:wrap anchorx="margin" anchory="margin"/>
        </v:shape>
      </w:pict>
    </w:r>
    <w:r w:rsidR="00211C0B">
      <w:rPr>
        <w:noProof/>
        <w:lang w:eastAsia="da-DK"/>
      </w:rPr>
      <w:drawing>
        <wp:anchor distT="0" distB="0" distL="114300" distR="114300" simplePos="0" relativeHeight="251667456" behindDoc="0" locked="1" layoutInCell="1" allowOverlap="1" wp14:anchorId="2C1E93A5" wp14:editId="2C12EFC5">
          <wp:simplePos x="0" y="0"/>
          <wp:positionH relativeFrom="page">
            <wp:posOffset>5579745</wp:posOffset>
          </wp:positionH>
          <wp:positionV relativeFrom="page">
            <wp:posOffset>539750</wp:posOffset>
          </wp:positionV>
          <wp:extent cx="1682545" cy="900000"/>
          <wp:effectExtent l="0" t="0" r="0" b="0"/>
          <wp:wrapNone/>
          <wp:docPr id="3" name="Logo_HIDE_bmkArt" descr="#decorative"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545" cy="900000"/>
                  </a:xfrm>
                  <a:prstGeom prst="rect">
                    <a:avLst/>
                  </a:prstGeom>
                </pic:spPr>
              </pic:pic>
            </a:graphicData>
          </a:graphic>
          <wp14:sizeRelH relativeFrom="page">
            <wp14:pctWidth>0</wp14:pctWidth>
          </wp14:sizeRelH>
          <wp14:sizeRelV relativeFrom="page">
            <wp14:pctHeight>0</wp14:pctHeight>
          </wp14:sizeRelV>
        </wp:anchor>
      </w:drawing>
    </w:r>
    <w:r w:rsidR="00211C0B">
      <w:rPr>
        <w:noProof/>
        <w:lang w:eastAsia="da-DK"/>
      </w:rPr>
      <mc:AlternateContent>
        <mc:Choice Requires="wps">
          <w:drawing>
            <wp:anchor distT="0" distB="0" distL="114300" distR="114300" simplePos="0" relativeHeight="251664384" behindDoc="0" locked="0" layoutInCell="1" allowOverlap="1" wp14:anchorId="6D852657" wp14:editId="281CC647">
              <wp:simplePos x="0" y="0"/>
              <wp:positionH relativeFrom="page">
                <wp:posOffset>5692140</wp:posOffset>
              </wp:positionH>
              <wp:positionV relativeFrom="page">
                <wp:posOffset>1620520</wp:posOffset>
              </wp:positionV>
              <wp:extent cx="1512000" cy="3909600"/>
              <wp:effectExtent l="0" t="0" r="12065" b="15240"/>
              <wp:wrapNone/>
              <wp:docPr id="1" name="Text Box 1"/>
              <wp:cNvGraphicFramePr/>
              <a:graphic xmlns:a="http://schemas.openxmlformats.org/drawingml/2006/main">
                <a:graphicData uri="http://schemas.microsoft.com/office/word/2010/wordprocessingShape">
                  <wps:wsp>
                    <wps:cNvSpPr txBox="1"/>
                    <wps:spPr>
                      <a:xfrm>
                        <a:off x="0" y="0"/>
                        <a:ext cx="1512000" cy="39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11C0B" w:rsidRPr="00171428" w14:paraId="4B54C9F7" w14:textId="77777777" w:rsidTr="00B07E52">
                            <w:trPr>
                              <w:trHeight w:val="2740"/>
                            </w:trPr>
                            <w:tc>
                              <w:tcPr>
                                <w:tcW w:w="2352" w:type="dxa"/>
                              </w:tcPr>
                              <w:p w14:paraId="25794517" w14:textId="77777777" w:rsidR="00211C0B" w:rsidRDefault="00211C0B">
                                <w:pPr>
                                  <w:pStyle w:val="Template-Department"/>
                                </w:pPr>
                                <w:bookmarkStart w:id="43" w:name="SD_OFF_Myndighed"/>
                                <w:r w:rsidRPr="004935F1">
                                  <w:t>Departementet</w:t>
                                </w:r>
                                <w:bookmarkEnd w:id="43"/>
                              </w:p>
                              <w:p w14:paraId="385C3B8D" w14:textId="77777777" w:rsidR="00211C0B" w:rsidRDefault="00211C0B" w:rsidP="00CE66C1">
                                <w:pPr>
                                  <w:pStyle w:val="Template-Department"/>
                                </w:pPr>
                                <w:bookmarkStart w:id="44" w:name="SD_USR_Undermyndighed"/>
                                <w:bookmarkStart w:id="45" w:name="HIF_SD_USR_Undermyndighed"/>
                                <w:r>
                                  <w:t>Afdelingen for Analyse og Rådgivning</w:t>
                                </w:r>
                                <w:bookmarkEnd w:id="44"/>
                              </w:p>
                              <w:p w14:paraId="456572E7" w14:textId="77777777" w:rsidR="00211C0B" w:rsidRDefault="00211C0B">
                                <w:pPr>
                                  <w:pStyle w:val="Template-Adresse"/>
                                </w:pPr>
                                <w:bookmarkStart w:id="46" w:name="SD_OFF_Address"/>
                                <w:bookmarkEnd w:id="45"/>
                                <w:r>
                                  <w:t>Frederiksholms Kanal 21</w:t>
                                </w:r>
                              </w:p>
                              <w:p w14:paraId="5FF5EA39" w14:textId="77777777" w:rsidR="00211C0B" w:rsidRDefault="00211C0B">
                                <w:pPr>
                                  <w:pStyle w:val="Template-Adresse"/>
                                </w:pPr>
                                <w:r>
                                  <w:t>1220 København K</w:t>
                                </w:r>
                                <w:bookmarkEnd w:id="46"/>
                              </w:p>
                              <w:p w14:paraId="78277288" w14:textId="77777777" w:rsidR="00211C0B" w:rsidRDefault="00211C0B">
                                <w:pPr>
                                  <w:pStyle w:val="Template-Adresse"/>
                                </w:pPr>
                                <w:bookmarkStart w:id="47" w:name="SD_LAN_Phone"/>
                                <w:bookmarkStart w:id="48" w:name="HIF_SD_OFF_Phone"/>
                                <w:r w:rsidRPr="004935F1">
                                  <w:t>Tlf. nr.</w:t>
                                </w:r>
                                <w:bookmarkEnd w:id="47"/>
                                <w:r w:rsidRPr="004935F1">
                                  <w:t xml:space="preserve">: </w:t>
                                </w:r>
                                <w:bookmarkStart w:id="49" w:name="SD_OFF_Phone"/>
                                <w:bookmarkEnd w:id="48"/>
                                <w:r>
                                  <w:t>32 92 50 00</w:t>
                                </w:r>
                                <w:bookmarkEnd w:id="49"/>
                              </w:p>
                              <w:p w14:paraId="1C61C5D7" w14:textId="77777777" w:rsidR="00211C0B" w:rsidRPr="005345F2" w:rsidRDefault="00211C0B">
                                <w:pPr>
                                  <w:pStyle w:val="Template-Adresse"/>
                                  <w:rPr>
                                    <w:lang w:val="fr-FR"/>
                                  </w:rPr>
                                </w:pPr>
                                <w:bookmarkStart w:id="50" w:name="SD_LAN_Email"/>
                                <w:bookmarkStart w:id="51" w:name="HIF_SD_OFF_Fax"/>
                                <w:r>
                                  <w:rPr>
                                    <w:lang w:val="fr-FR"/>
                                  </w:rPr>
                                  <w:t>E-mail</w:t>
                                </w:r>
                                <w:bookmarkEnd w:id="50"/>
                                <w:r w:rsidRPr="005345F2">
                                  <w:rPr>
                                    <w:lang w:val="fr-FR"/>
                                  </w:rPr>
                                  <w:t xml:space="preserve">: </w:t>
                                </w:r>
                                <w:bookmarkStart w:id="52" w:name="SD_OFF_Email"/>
                                <w:bookmarkEnd w:id="51"/>
                                <w:r>
                                  <w:rPr>
                                    <w:lang w:val="fr-FR"/>
                                  </w:rPr>
                                  <w:t>uvm@uvm.dk</w:t>
                                </w:r>
                                <w:bookmarkEnd w:id="52"/>
                              </w:p>
                              <w:p w14:paraId="6DEF9B73" w14:textId="77777777" w:rsidR="00211C0B" w:rsidRPr="005345F2" w:rsidRDefault="00211C0B">
                                <w:pPr>
                                  <w:pStyle w:val="Template-Adresse"/>
                                  <w:rPr>
                                    <w:lang w:val="fr-FR"/>
                                  </w:rPr>
                                </w:pPr>
                                <w:bookmarkStart w:id="53" w:name="SD_OFF_Web"/>
                                <w:r w:rsidRPr="004935F1">
                                  <w:rPr>
                                    <w:lang w:val="fr-FR"/>
                                  </w:rPr>
                                  <w:t>www.uvm.dk</w:t>
                                </w:r>
                                <w:bookmarkEnd w:id="53"/>
                              </w:p>
                              <w:p w14:paraId="1C2B7C85" w14:textId="77777777" w:rsidR="00211C0B" w:rsidRPr="00B07E52" w:rsidRDefault="00211C0B" w:rsidP="00B07E52">
                                <w:pPr>
                                  <w:pStyle w:val="Template-Adresse"/>
                                  <w:rPr>
                                    <w:lang w:val="fr-FR"/>
                                  </w:rPr>
                                </w:pPr>
                                <w:bookmarkStart w:id="54" w:name="SD_LAN_CVR"/>
                                <w:r>
                                  <w:rPr>
                                    <w:lang w:val="fr-FR"/>
                                  </w:rPr>
                                  <w:t>CVR nr.</w:t>
                                </w:r>
                                <w:bookmarkEnd w:id="54"/>
                                <w:r w:rsidRPr="005345F2">
                                  <w:rPr>
                                    <w:lang w:val="fr-FR"/>
                                  </w:rPr>
                                  <w:t xml:space="preserve">: </w:t>
                                </w:r>
                                <w:bookmarkStart w:id="55" w:name="SD_OFF_CVR"/>
                                <w:r>
                                  <w:rPr>
                                    <w:lang w:val="fr-FR"/>
                                  </w:rPr>
                                  <w:t>20453044</w:t>
                                </w:r>
                                <w:bookmarkEnd w:id="55"/>
                              </w:p>
                            </w:tc>
                          </w:tr>
                          <w:tr w:rsidR="00211C0B" w:rsidRPr="004935F1" w14:paraId="110204CF" w14:textId="77777777" w:rsidTr="00B07E52">
                            <w:trPr>
                              <w:trHeight w:val="2740"/>
                            </w:trPr>
                            <w:tc>
                              <w:tcPr>
                                <w:tcW w:w="2352" w:type="dxa"/>
                              </w:tcPr>
                              <w:p w14:paraId="0ED4E5CB" w14:textId="2863EB5C" w:rsidR="00211C0B" w:rsidRPr="008D392E" w:rsidRDefault="006C4A65" w:rsidP="00B07E52">
                                <w:pPr>
                                  <w:pStyle w:val="Template-DatoogSagsnr"/>
                                </w:pPr>
                                <w:bookmarkStart w:id="56" w:name="SD_FLD_DocumentDate"/>
                                <w:r>
                                  <w:t>9</w:t>
                                </w:r>
                                <w:r w:rsidR="00211C0B" w:rsidRPr="008D392E">
                                  <w:t xml:space="preserve">. </w:t>
                                </w:r>
                                <w:r w:rsidR="00211C0B">
                                  <w:t>novem</w:t>
                                </w:r>
                                <w:r w:rsidR="00211C0B" w:rsidRPr="008D392E">
                                  <w:t>ber 2020</w:t>
                                </w:r>
                                <w:bookmarkEnd w:id="56"/>
                              </w:p>
                              <w:p w14:paraId="18806727" w14:textId="77777777" w:rsidR="00211C0B" w:rsidRPr="008D392E" w:rsidRDefault="00211C0B" w:rsidP="009F3CE1">
                                <w:pPr>
                                  <w:pStyle w:val="Template-DatoogSagsnr"/>
                                </w:pPr>
                                <w:bookmarkStart w:id="57" w:name="SD_LAN_CaseNo"/>
                                <w:bookmarkStart w:id="58" w:name="HIF_SD_FLD_CaseNo"/>
                                <w:r w:rsidRPr="008D392E">
                                  <w:t>Sags nr.</w:t>
                                </w:r>
                                <w:bookmarkEnd w:id="57"/>
                                <w:r w:rsidRPr="008D392E">
                                  <w:t xml:space="preserve">: </w:t>
                                </w:r>
                                <w:sdt>
                                  <w:sdtPr>
                                    <w:tag w:val="ToCase.Name"/>
                                    <w:id w:val="1341896625"/>
                                    <w:placeholder>
                                      <w:docPart w:val="CACBAB21A0EC4D41A6B0A84820B93814"/>
                                    </w:placeholder>
                                    <w:dataBinding w:prefixMappings="xmlns:gbs='http://www.software-innovation.no/growBusinessDocument'" w:xpath="/gbs:GrowBusinessDocument/gbs:ToCase.Name[@gbs:key='1341896625']" w:storeItemID="{176A2153-FE88-49AA-82C3-D8F1A63775FB}"/>
                                    <w:text/>
                                  </w:sdtPr>
                                  <w:sdtEndPr/>
                                  <w:sdtContent>
                                    <w:r>
                                      <w:t>20/16461</w:t>
                                    </w:r>
                                  </w:sdtContent>
                                </w:sdt>
                                <w:bookmarkEnd w:id="58"/>
                              </w:p>
                            </w:tc>
                          </w:tr>
                        </w:tbl>
                        <w:p w14:paraId="157F312C" w14:textId="77777777" w:rsidR="00211C0B" w:rsidRPr="008D392E" w:rsidRDefault="00211C0B" w:rsidP="000A47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52657" id="_x0000_t202" coordsize="21600,21600" o:spt="202" path="m,l,21600r21600,l21600,xe">
              <v:stroke joinstyle="miter"/>
              <v:path gradientshapeok="t" o:connecttype="rect"/>
            </v:shapetype>
            <v:shape id="Text Box 1" o:spid="_x0000_s1027" type="#_x0000_t202" style="position:absolute;margin-left:448.2pt;margin-top:127.6pt;width:119.05pt;height:30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11C0B" w:rsidRPr="00171428" w14:paraId="4B54C9F7" w14:textId="77777777" w:rsidTr="00B07E52">
                      <w:trPr>
                        <w:trHeight w:val="2740"/>
                      </w:trPr>
                      <w:tc>
                        <w:tcPr>
                          <w:tcW w:w="2352" w:type="dxa"/>
                        </w:tcPr>
                        <w:p w14:paraId="25794517" w14:textId="77777777" w:rsidR="00211C0B" w:rsidRDefault="00211C0B">
                          <w:pPr>
                            <w:pStyle w:val="Template-Department"/>
                          </w:pPr>
                          <w:bookmarkStart w:id="59" w:name="SD_OFF_Myndighed"/>
                          <w:r w:rsidRPr="004935F1">
                            <w:t>Departementet</w:t>
                          </w:r>
                          <w:bookmarkEnd w:id="59"/>
                        </w:p>
                        <w:p w14:paraId="385C3B8D" w14:textId="77777777" w:rsidR="00211C0B" w:rsidRDefault="00211C0B" w:rsidP="00CE66C1">
                          <w:pPr>
                            <w:pStyle w:val="Template-Department"/>
                          </w:pPr>
                          <w:bookmarkStart w:id="60" w:name="SD_USR_Undermyndighed"/>
                          <w:bookmarkStart w:id="61" w:name="HIF_SD_USR_Undermyndighed"/>
                          <w:r>
                            <w:t>Afdelingen for Analyse og Rådgivning</w:t>
                          </w:r>
                          <w:bookmarkEnd w:id="60"/>
                        </w:p>
                        <w:p w14:paraId="456572E7" w14:textId="77777777" w:rsidR="00211C0B" w:rsidRDefault="00211C0B">
                          <w:pPr>
                            <w:pStyle w:val="Template-Adresse"/>
                          </w:pPr>
                          <w:bookmarkStart w:id="62" w:name="SD_OFF_Address"/>
                          <w:bookmarkEnd w:id="61"/>
                          <w:r>
                            <w:t>Frederiksholms Kanal 21</w:t>
                          </w:r>
                        </w:p>
                        <w:p w14:paraId="5FF5EA39" w14:textId="77777777" w:rsidR="00211C0B" w:rsidRDefault="00211C0B">
                          <w:pPr>
                            <w:pStyle w:val="Template-Adresse"/>
                          </w:pPr>
                          <w:r>
                            <w:t>1220 København K</w:t>
                          </w:r>
                          <w:bookmarkEnd w:id="62"/>
                        </w:p>
                        <w:p w14:paraId="78277288" w14:textId="77777777" w:rsidR="00211C0B" w:rsidRDefault="00211C0B">
                          <w:pPr>
                            <w:pStyle w:val="Template-Adresse"/>
                          </w:pPr>
                          <w:bookmarkStart w:id="63" w:name="SD_LAN_Phone"/>
                          <w:bookmarkStart w:id="64" w:name="HIF_SD_OFF_Phone"/>
                          <w:r w:rsidRPr="004935F1">
                            <w:t>Tlf. nr.</w:t>
                          </w:r>
                          <w:bookmarkEnd w:id="63"/>
                          <w:r w:rsidRPr="004935F1">
                            <w:t xml:space="preserve">: </w:t>
                          </w:r>
                          <w:bookmarkStart w:id="65" w:name="SD_OFF_Phone"/>
                          <w:bookmarkEnd w:id="64"/>
                          <w:r>
                            <w:t>32 92 50 00</w:t>
                          </w:r>
                          <w:bookmarkEnd w:id="65"/>
                        </w:p>
                        <w:p w14:paraId="1C61C5D7" w14:textId="77777777" w:rsidR="00211C0B" w:rsidRPr="005345F2" w:rsidRDefault="00211C0B">
                          <w:pPr>
                            <w:pStyle w:val="Template-Adresse"/>
                            <w:rPr>
                              <w:lang w:val="fr-FR"/>
                            </w:rPr>
                          </w:pPr>
                          <w:bookmarkStart w:id="66" w:name="SD_LAN_Email"/>
                          <w:bookmarkStart w:id="67" w:name="HIF_SD_OFF_Fax"/>
                          <w:r>
                            <w:rPr>
                              <w:lang w:val="fr-FR"/>
                            </w:rPr>
                            <w:t>E-mail</w:t>
                          </w:r>
                          <w:bookmarkEnd w:id="66"/>
                          <w:r w:rsidRPr="005345F2">
                            <w:rPr>
                              <w:lang w:val="fr-FR"/>
                            </w:rPr>
                            <w:t xml:space="preserve">: </w:t>
                          </w:r>
                          <w:bookmarkStart w:id="68" w:name="SD_OFF_Email"/>
                          <w:bookmarkEnd w:id="67"/>
                          <w:r>
                            <w:rPr>
                              <w:lang w:val="fr-FR"/>
                            </w:rPr>
                            <w:t>uvm@uvm.dk</w:t>
                          </w:r>
                          <w:bookmarkEnd w:id="68"/>
                        </w:p>
                        <w:p w14:paraId="6DEF9B73" w14:textId="77777777" w:rsidR="00211C0B" w:rsidRPr="005345F2" w:rsidRDefault="00211C0B">
                          <w:pPr>
                            <w:pStyle w:val="Template-Adresse"/>
                            <w:rPr>
                              <w:lang w:val="fr-FR"/>
                            </w:rPr>
                          </w:pPr>
                          <w:bookmarkStart w:id="69" w:name="SD_OFF_Web"/>
                          <w:r w:rsidRPr="004935F1">
                            <w:rPr>
                              <w:lang w:val="fr-FR"/>
                            </w:rPr>
                            <w:t>www.uvm.dk</w:t>
                          </w:r>
                          <w:bookmarkEnd w:id="69"/>
                        </w:p>
                        <w:p w14:paraId="1C2B7C85" w14:textId="77777777" w:rsidR="00211C0B" w:rsidRPr="00B07E52" w:rsidRDefault="00211C0B" w:rsidP="00B07E52">
                          <w:pPr>
                            <w:pStyle w:val="Template-Adresse"/>
                            <w:rPr>
                              <w:lang w:val="fr-FR"/>
                            </w:rPr>
                          </w:pPr>
                          <w:bookmarkStart w:id="70" w:name="SD_LAN_CVR"/>
                          <w:r>
                            <w:rPr>
                              <w:lang w:val="fr-FR"/>
                            </w:rPr>
                            <w:t>CVR nr.</w:t>
                          </w:r>
                          <w:bookmarkEnd w:id="70"/>
                          <w:r w:rsidRPr="005345F2">
                            <w:rPr>
                              <w:lang w:val="fr-FR"/>
                            </w:rPr>
                            <w:t xml:space="preserve">: </w:t>
                          </w:r>
                          <w:bookmarkStart w:id="71" w:name="SD_OFF_CVR"/>
                          <w:r>
                            <w:rPr>
                              <w:lang w:val="fr-FR"/>
                            </w:rPr>
                            <w:t>20453044</w:t>
                          </w:r>
                          <w:bookmarkEnd w:id="71"/>
                        </w:p>
                      </w:tc>
                    </w:tr>
                    <w:tr w:rsidR="00211C0B" w:rsidRPr="004935F1" w14:paraId="110204CF" w14:textId="77777777" w:rsidTr="00B07E52">
                      <w:trPr>
                        <w:trHeight w:val="2740"/>
                      </w:trPr>
                      <w:tc>
                        <w:tcPr>
                          <w:tcW w:w="2352" w:type="dxa"/>
                        </w:tcPr>
                        <w:p w14:paraId="0ED4E5CB" w14:textId="2863EB5C" w:rsidR="00211C0B" w:rsidRPr="008D392E" w:rsidRDefault="006C4A65" w:rsidP="00B07E52">
                          <w:pPr>
                            <w:pStyle w:val="Template-DatoogSagsnr"/>
                          </w:pPr>
                          <w:bookmarkStart w:id="72" w:name="SD_FLD_DocumentDate"/>
                          <w:r>
                            <w:t>9</w:t>
                          </w:r>
                          <w:r w:rsidR="00211C0B" w:rsidRPr="008D392E">
                            <w:t xml:space="preserve">. </w:t>
                          </w:r>
                          <w:r w:rsidR="00211C0B">
                            <w:t>novem</w:t>
                          </w:r>
                          <w:r w:rsidR="00211C0B" w:rsidRPr="008D392E">
                            <w:t>ber 2020</w:t>
                          </w:r>
                          <w:bookmarkEnd w:id="72"/>
                        </w:p>
                        <w:p w14:paraId="18806727" w14:textId="77777777" w:rsidR="00211C0B" w:rsidRPr="008D392E" w:rsidRDefault="00211C0B" w:rsidP="009F3CE1">
                          <w:pPr>
                            <w:pStyle w:val="Template-DatoogSagsnr"/>
                          </w:pPr>
                          <w:bookmarkStart w:id="73" w:name="SD_LAN_CaseNo"/>
                          <w:bookmarkStart w:id="74" w:name="HIF_SD_FLD_CaseNo"/>
                          <w:r w:rsidRPr="008D392E">
                            <w:t>Sags nr.</w:t>
                          </w:r>
                          <w:bookmarkEnd w:id="73"/>
                          <w:r w:rsidRPr="008D392E">
                            <w:t xml:space="preserve">: </w:t>
                          </w:r>
                          <w:sdt>
                            <w:sdtPr>
                              <w:tag w:val="ToCase.Name"/>
                              <w:id w:val="1341896625"/>
                              <w:placeholder>
                                <w:docPart w:val="CACBAB21A0EC4D41A6B0A84820B93814"/>
                              </w:placeholder>
                              <w:dataBinding w:prefixMappings="xmlns:gbs='http://www.software-innovation.no/growBusinessDocument'" w:xpath="/gbs:GrowBusinessDocument/gbs:ToCase.Name[@gbs:key='1341896625']" w:storeItemID="{176A2153-FE88-49AA-82C3-D8F1A63775FB}"/>
                              <w:text/>
                            </w:sdtPr>
                            <w:sdtEndPr/>
                            <w:sdtContent>
                              <w:r>
                                <w:t>20/16461</w:t>
                              </w:r>
                            </w:sdtContent>
                          </w:sdt>
                          <w:bookmarkEnd w:id="74"/>
                        </w:p>
                      </w:tc>
                    </w:tr>
                  </w:tbl>
                  <w:p w14:paraId="157F312C" w14:textId="77777777" w:rsidR="00211C0B" w:rsidRPr="008D392E" w:rsidRDefault="00211C0B" w:rsidP="000A4751">
                    <w:pPr>
                      <w:pStyle w:val="Template-Adresse"/>
                    </w:pPr>
                  </w:p>
                </w:txbxContent>
              </v:textbox>
              <w10:wrap anchorx="page" anchory="page"/>
            </v:shape>
          </w:pict>
        </mc:Fallback>
      </mc:AlternateContent>
    </w:r>
  </w:p>
  <w:p w14:paraId="72139C59" w14:textId="77777777" w:rsidR="00211C0B" w:rsidRDefault="00211C0B" w:rsidP="000A4751">
    <w:pPr>
      <w:pStyle w:val="Sidehoved"/>
    </w:pPr>
    <w:bookmarkStart w:id="75" w:name="SD_Notat"/>
    <w:bookmarkEnd w:id="75"/>
  </w:p>
  <w:p w14:paraId="7562024E" w14:textId="77777777" w:rsidR="00211C0B" w:rsidRDefault="00211C0B" w:rsidP="000A4751">
    <w:pPr>
      <w:pStyle w:val="Sidehoved"/>
    </w:pPr>
  </w:p>
  <w:p w14:paraId="4BFF73D4" w14:textId="77777777" w:rsidR="00211C0B" w:rsidRDefault="00211C0B" w:rsidP="000A4751">
    <w:pPr>
      <w:pStyle w:val="Sidehoved"/>
    </w:pPr>
  </w:p>
  <w:p w14:paraId="220B71D8" w14:textId="77777777" w:rsidR="00211C0B" w:rsidRDefault="00211C0B" w:rsidP="000A4751">
    <w:pPr>
      <w:pStyle w:val="Sidehoved"/>
    </w:pPr>
  </w:p>
  <w:p w14:paraId="2C1B3F8A" w14:textId="77777777" w:rsidR="00211C0B" w:rsidRDefault="00211C0B" w:rsidP="000A4751">
    <w:pPr>
      <w:pStyle w:val="Sidehoved"/>
    </w:pPr>
  </w:p>
  <w:p w14:paraId="2C616355" w14:textId="77777777" w:rsidR="00211C0B" w:rsidRPr="000A4751" w:rsidRDefault="00211C0B" w:rsidP="000A475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6231B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086EFC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95E654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91AFA1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AB6A872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182C3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80E5F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88FA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23B47963"/>
    <w:multiLevelType w:val="hybridMultilevel"/>
    <w:tmpl w:val="43B4E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104791"/>
    <w:multiLevelType w:val="multilevel"/>
    <w:tmpl w:val="8FE81C0E"/>
    <w:lvl w:ilvl="0">
      <w:start w:val="1"/>
      <w:numFmt w:val="decimal"/>
      <w:pStyle w:val="Overskrift1"/>
      <w:lvlText w:val="%1."/>
      <w:lvlJc w:val="left"/>
      <w:pPr>
        <w:ind w:left="2912" w:hanging="360"/>
      </w:pPr>
      <w:rPr>
        <w:rFonts w:hint="default"/>
      </w:rPr>
    </w:lvl>
    <w:lvl w:ilvl="1">
      <w:start w:val="1"/>
      <w:numFmt w:val="decimal"/>
      <w:pStyle w:val="Overskrift2"/>
      <w:lvlText w:val="%1.%2"/>
      <w:lvlJc w:val="left"/>
      <w:pPr>
        <w:ind w:left="2581"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15:restartNumberingAfterBreak="0">
    <w:nsid w:val="38B17C3A"/>
    <w:multiLevelType w:val="hybridMultilevel"/>
    <w:tmpl w:val="468F9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15:restartNumberingAfterBreak="0">
    <w:nsid w:val="59E43EC7"/>
    <w:multiLevelType w:val="hybridMultilevel"/>
    <w:tmpl w:val="40D0D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4" w15:restartNumberingAfterBreak="0">
    <w:nsid w:val="7F0141DA"/>
    <w:multiLevelType w:val="hybridMultilevel"/>
    <w:tmpl w:val="57E85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15"/>
  </w:num>
  <w:num w:numId="13">
    <w:abstractNumId w:val="13"/>
  </w:num>
  <w:num w:numId="14">
    <w:abstractNumId w:val="14"/>
  </w:num>
  <w:num w:numId="15">
    <w:abstractNumId w:val="10"/>
  </w:num>
  <w:num w:numId="16">
    <w:abstractNumId w:val="15"/>
  </w:num>
  <w:num w:numId="17">
    <w:abstractNumId w:val="15"/>
  </w:num>
  <w:num w:numId="18">
    <w:abstractNumId w:val="15"/>
  </w:num>
  <w:num w:numId="19">
    <w:abstractNumId w:val="15"/>
  </w:num>
  <w:num w:numId="20">
    <w:abstractNumId w:val="9"/>
  </w:num>
  <w:num w:numId="21">
    <w:abstractNumId w:val="9"/>
  </w:num>
  <w:num w:numId="22">
    <w:abstractNumId w:val="12"/>
  </w:num>
  <w:num w:numId="23">
    <w:abstractNumId w:val="8"/>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0B0F"/>
    <w:rsid w:val="000047DD"/>
    <w:rsid w:val="00004865"/>
    <w:rsid w:val="00010EEA"/>
    <w:rsid w:val="00032473"/>
    <w:rsid w:val="00033D23"/>
    <w:rsid w:val="00034FE1"/>
    <w:rsid w:val="000456D2"/>
    <w:rsid w:val="0005411B"/>
    <w:rsid w:val="000635F4"/>
    <w:rsid w:val="00064EA4"/>
    <w:rsid w:val="00065BE2"/>
    <w:rsid w:val="000716A0"/>
    <w:rsid w:val="0007189C"/>
    <w:rsid w:val="0007679D"/>
    <w:rsid w:val="000776D1"/>
    <w:rsid w:val="00080560"/>
    <w:rsid w:val="00082610"/>
    <w:rsid w:val="00090318"/>
    <w:rsid w:val="00094147"/>
    <w:rsid w:val="00094ABD"/>
    <w:rsid w:val="00095A12"/>
    <w:rsid w:val="000A4751"/>
    <w:rsid w:val="000A5604"/>
    <w:rsid w:val="000C0702"/>
    <w:rsid w:val="000C2D17"/>
    <w:rsid w:val="000D4513"/>
    <w:rsid w:val="000E74F3"/>
    <w:rsid w:val="000F0F81"/>
    <w:rsid w:val="000F3D24"/>
    <w:rsid w:val="0011738A"/>
    <w:rsid w:val="0013244F"/>
    <w:rsid w:val="0014665D"/>
    <w:rsid w:val="001528D5"/>
    <w:rsid w:val="00152BED"/>
    <w:rsid w:val="00154352"/>
    <w:rsid w:val="00160647"/>
    <w:rsid w:val="00166EAA"/>
    <w:rsid w:val="00170ADC"/>
    <w:rsid w:val="00171428"/>
    <w:rsid w:val="00182651"/>
    <w:rsid w:val="00183328"/>
    <w:rsid w:val="0018686A"/>
    <w:rsid w:val="001A2403"/>
    <w:rsid w:val="001A2D37"/>
    <w:rsid w:val="001A4B5E"/>
    <w:rsid w:val="001A72F2"/>
    <w:rsid w:val="001B1D81"/>
    <w:rsid w:val="001B3A44"/>
    <w:rsid w:val="001C5773"/>
    <w:rsid w:val="001D3460"/>
    <w:rsid w:val="001D684A"/>
    <w:rsid w:val="001E4ED8"/>
    <w:rsid w:val="001E74E5"/>
    <w:rsid w:val="001F05D8"/>
    <w:rsid w:val="001F08DC"/>
    <w:rsid w:val="001F4CFB"/>
    <w:rsid w:val="00211C0B"/>
    <w:rsid w:val="0022193A"/>
    <w:rsid w:val="00225A8E"/>
    <w:rsid w:val="00234DE1"/>
    <w:rsid w:val="00241136"/>
    <w:rsid w:val="002413CA"/>
    <w:rsid w:val="00241A45"/>
    <w:rsid w:val="00244D70"/>
    <w:rsid w:val="00245C72"/>
    <w:rsid w:val="00246D86"/>
    <w:rsid w:val="002476BD"/>
    <w:rsid w:val="00256DBE"/>
    <w:rsid w:val="00274100"/>
    <w:rsid w:val="00276511"/>
    <w:rsid w:val="00277AED"/>
    <w:rsid w:val="0028226B"/>
    <w:rsid w:val="002853BE"/>
    <w:rsid w:val="002874DB"/>
    <w:rsid w:val="00293C27"/>
    <w:rsid w:val="002A278B"/>
    <w:rsid w:val="002A69E7"/>
    <w:rsid w:val="002A6C60"/>
    <w:rsid w:val="002B0382"/>
    <w:rsid w:val="002B1B9D"/>
    <w:rsid w:val="002B2726"/>
    <w:rsid w:val="002B3517"/>
    <w:rsid w:val="002B4541"/>
    <w:rsid w:val="002B46D9"/>
    <w:rsid w:val="002B7C7D"/>
    <w:rsid w:val="002C0CDC"/>
    <w:rsid w:val="002C25F6"/>
    <w:rsid w:val="002D5562"/>
    <w:rsid w:val="002E0E3B"/>
    <w:rsid w:val="002E4E2D"/>
    <w:rsid w:val="002E74A4"/>
    <w:rsid w:val="0030073F"/>
    <w:rsid w:val="00313489"/>
    <w:rsid w:val="00320FF0"/>
    <w:rsid w:val="0032428F"/>
    <w:rsid w:val="003346DF"/>
    <w:rsid w:val="00336D5E"/>
    <w:rsid w:val="00337843"/>
    <w:rsid w:val="0034396D"/>
    <w:rsid w:val="00356DCA"/>
    <w:rsid w:val="00376261"/>
    <w:rsid w:val="00394F5C"/>
    <w:rsid w:val="00397BF9"/>
    <w:rsid w:val="003A0E22"/>
    <w:rsid w:val="003B35B0"/>
    <w:rsid w:val="003C2C0A"/>
    <w:rsid w:val="003C4ED2"/>
    <w:rsid w:val="003C4F9F"/>
    <w:rsid w:val="003C60F1"/>
    <w:rsid w:val="003D354A"/>
    <w:rsid w:val="003D642C"/>
    <w:rsid w:val="003E3A80"/>
    <w:rsid w:val="003F1782"/>
    <w:rsid w:val="00402F94"/>
    <w:rsid w:val="00406DA5"/>
    <w:rsid w:val="004134A6"/>
    <w:rsid w:val="004178CA"/>
    <w:rsid w:val="00417F9F"/>
    <w:rsid w:val="00421174"/>
    <w:rsid w:val="0042323B"/>
    <w:rsid w:val="00424703"/>
    <w:rsid w:val="00424709"/>
    <w:rsid w:val="00424A82"/>
    <w:rsid w:val="00424AD9"/>
    <w:rsid w:val="00446AF8"/>
    <w:rsid w:val="004473EB"/>
    <w:rsid w:val="00453CFB"/>
    <w:rsid w:val="00454340"/>
    <w:rsid w:val="0045474B"/>
    <w:rsid w:val="00472976"/>
    <w:rsid w:val="004756B7"/>
    <w:rsid w:val="0047623C"/>
    <w:rsid w:val="0047738A"/>
    <w:rsid w:val="00484ABC"/>
    <w:rsid w:val="00490694"/>
    <w:rsid w:val="004935F1"/>
    <w:rsid w:val="004974FF"/>
    <w:rsid w:val="004A2E11"/>
    <w:rsid w:val="004A33C2"/>
    <w:rsid w:val="004C01B2"/>
    <w:rsid w:val="004C5D14"/>
    <w:rsid w:val="004D3BD7"/>
    <w:rsid w:val="004E3139"/>
    <w:rsid w:val="004E6D4A"/>
    <w:rsid w:val="004F527C"/>
    <w:rsid w:val="004F53AF"/>
    <w:rsid w:val="005178A7"/>
    <w:rsid w:val="005345F2"/>
    <w:rsid w:val="00537F6C"/>
    <w:rsid w:val="005400B8"/>
    <w:rsid w:val="00547AF5"/>
    <w:rsid w:val="00550E64"/>
    <w:rsid w:val="00551C63"/>
    <w:rsid w:val="0055365F"/>
    <w:rsid w:val="00554655"/>
    <w:rsid w:val="00555D94"/>
    <w:rsid w:val="00557FEA"/>
    <w:rsid w:val="00560DA5"/>
    <w:rsid w:val="00564B12"/>
    <w:rsid w:val="00565316"/>
    <w:rsid w:val="00567080"/>
    <w:rsid w:val="005A12F6"/>
    <w:rsid w:val="005A28D4"/>
    <w:rsid w:val="005A4E51"/>
    <w:rsid w:val="005B1401"/>
    <w:rsid w:val="005B5925"/>
    <w:rsid w:val="005C1385"/>
    <w:rsid w:val="005C5F97"/>
    <w:rsid w:val="005D5D38"/>
    <w:rsid w:val="005E3D59"/>
    <w:rsid w:val="005E6348"/>
    <w:rsid w:val="005F103D"/>
    <w:rsid w:val="005F1580"/>
    <w:rsid w:val="005F3ED8"/>
    <w:rsid w:val="005F6B57"/>
    <w:rsid w:val="006006F2"/>
    <w:rsid w:val="00606172"/>
    <w:rsid w:val="00606DAF"/>
    <w:rsid w:val="006101F3"/>
    <w:rsid w:val="00623A00"/>
    <w:rsid w:val="00625FC7"/>
    <w:rsid w:val="0063580F"/>
    <w:rsid w:val="00636CF5"/>
    <w:rsid w:val="00637AF9"/>
    <w:rsid w:val="00645617"/>
    <w:rsid w:val="00645B12"/>
    <w:rsid w:val="00646B4C"/>
    <w:rsid w:val="00655B49"/>
    <w:rsid w:val="00655EBC"/>
    <w:rsid w:val="00656610"/>
    <w:rsid w:val="0066467B"/>
    <w:rsid w:val="006651D9"/>
    <w:rsid w:val="00670CD0"/>
    <w:rsid w:val="00681D83"/>
    <w:rsid w:val="006900C2"/>
    <w:rsid w:val="006920BA"/>
    <w:rsid w:val="006A3F81"/>
    <w:rsid w:val="006A5FA1"/>
    <w:rsid w:val="006B007B"/>
    <w:rsid w:val="006B2D7C"/>
    <w:rsid w:val="006B30A9"/>
    <w:rsid w:val="006C4A65"/>
    <w:rsid w:val="006C62A1"/>
    <w:rsid w:val="006D4879"/>
    <w:rsid w:val="006E530F"/>
    <w:rsid w:val="006F0648"/>
    <w:rsid w:val="00701A69"/>
    <w:rsid w:val="0070267E"/>
    <w:rsid w:val="00702C62"/>
    <w:rsid w:val="007061AD"/>
    <w:rsid w:val="00706E32"/>
    <w:rsid w:val="0071043E"/>
    <w:rsid w:val="00710DB4"/>
    <w:rsid w:val="007501C4"/>
    <w:rsid w:val="00751786"/>
    <w:rsid w:val="00753CC8"/>
    <w:rsid w:val="007546AF"/>
    <w:rsid w:val="00760830"/>
    <w:rsid w:val="00765934"/>
    <w:rsid w:val="00774EEC"/>
    <w:rsid w:val="00780CEF"/>
    <w:rsid w:val="00784B9F"/>
    <w:rsid w:val="0079421C"/>
    <w:rsid w:val="007B4775"/>
    <w:rsid w:val="007C2FCF"/>
    <w:rsid w:val="007C4F82"/>
    <w:rsid w:val="007C7C78"/>
    <w:rsid w:val="007D22E7"/>
    <w:rsid w:val="007E0C91"/>
    <w:rsid w:val="007E373C"/>
    <w:rsid w:val="007F0FE0"/>
    <w:rsid w:val="007F4012"/>
    <w:rsid w:val="00821987"/>
    <w:rsid w:val="0082436A"/>
    <w:rsid w:val="008417FE"/>
    <w:rsid w:val="00847DD9"/>
    <w:rsid w:val="00864483"/>
    <w:rsid w:val="008654FD"/>
    <w:rsid w:val="0087148D"/>
    <w:rsid w:val="0087387F"/>
    <w:rsid w:val="00875C0B"/>
    <w:rsid w:val="00885A8F"/>
    <w:rsid w:val="008870EE"/>
    <w:rsid w:val="00892D08"/>
    <w:rsid w:val="00893791"/>
    <w:rsid w:val="008A4C23"/>
    <w:rsid w:val="008B44EE"/>
    <w:rsid w:val="008B6AE0"/>
    <w:rsid w:val="008C2DC9"/>
    <w:rsid w:val="008C588B"/>
    <w:rsid w:val="008C5CCB"/>
    <w:rsid w:val="008D392E"/>
    <w:rsid w:val="008E16D4"/>
    <w:rsid w:val="008E36B9"/>
    <w:rsid w:val="008E5902"/>
    <w:rsid w:val="008E5967"/>
    <w:rsid w:val="008E5A6D"/>
    <w:rsid w:val="008F0334"/>
    <w:rsid w:val="008F32DF"/>
    <w:rsid w:val="008F3540"/>
    <w:rsid w:val="008F4D20"/>
    <w:rsid w:val="008F7205"/>
    <w:rsid w:val="00900D49"/>
    <w:rsid w:val="00900D58"/>
    <w:rsid w:val="00902BDE"/>
    <w:rsid w:val="00924450"/>
    <w:rsid w:val="00945E42"/>
    <w:rsid w:val="0094757D"/>
    <w:rsid w:val="00951B25"/>
    <w:rsid w:val="009611C7"/>
    <w:rsid w:val="00970DA4"/>
    <w:rsid w:val="009737C3"/>
    <w:rsid w:val="009737E4"/>
    <w:rsid w:val="0097542F"/>
    <w:rsid w:val="0097627C"/>
    <w:rsid w:val="00976F55"/>
    <w:rsid w:val="009779A4"/>
    <w:rsid w:val="00980D9E"/>
    <w:rsid w:val="00983B74"/>
    <w:rsid w:val="00990263"/>
    <w:rsid w:val="00996005"/>
    <w:rsid w:val="009967A9"/>
    <w:rsid w:val="009A04CA"/>
    <w:rsid w:val="009A4CCC"/>
    <w:rsid w:val="009B0CB9"/>
    <w:rsid w:val="009B3324"/>
    <w:rsid w:val="009B54C2"/>
    <w:rsid w:val="009B70F0"/>
    <w:rsid w:val="009D0079"/>
    <w:rsid w:val="009D6F64"/>
    <w:rsid w:val="009D7F0D"/>
    <w:rsid w:val="009E3B1F"/>
    <w:rsid w:val="009E3B3A"/>
    <w:rsid w:val="009E4531"/>
    <w:rsid w:val="009E4B94"/>
    <w:rsid w:val="009E5320"/>
    <w:rsid w:val="009E57C2"/>
    <w:rsid w:val="009E77DE"/>
    <w:rsid w:val="009F3CE1"/>
    <w:rsid w:val="009F5D72"/>
    <w:rsid w:val="00A06FF8"/>
    <w:rsid w:val="00A11D4D"/>
    <w:rsid w:val="00A120A1"/>
    <w:rsid w:val="00A12F56"/>
    <w:rsid w:val="00A134DE"/>
    <w:rsid w:val="00A170CD"/>
    <w:rsid w:val="00A20E7D"/>
    <w:rsid w:val="00A22156"/>
    <w:rsid w:val="00A30AC0"/>
    <w:rsid w:val="00A32A82"/>
    <w:rsid w:val="00A459B9"/>
    <w:rsid w:val="00A5100F"/>
    <w:rsid w:val="00A6019D"/>
    <w:rsid w:val="00A62161"/>
    <w:rsid w:val="00A7754A"/>
    <w:rsid w:val="00A84313"/>
    <w:rsid w:val="00A868B9"/>
    <w:rsid w:val="00A92B01"/>
    <w:rsid w:val="00AB3AC9"/>
    <w:rsid w:val="00AB4582"/>
    <w:rsid w:val="00AB5C27"/>
    <w:rsid w:val="00AB7D22"/>
    <w:rsid w:val="00AC5848"/>
    <w:rsid w:val="00AE3EE0"/>
    <w:rsid w:val="00AE4B61"/>
    <w:rsid w:val="00AF1D02"/>
    <w:rsid w:val="00AF3696"/>
    <w:rsid w:val="00AF46D7"/>
    <w:rsid w:val="00AF5BF5"/>
    <w:rsid w:val="00AF707A"/>
    <w:rsid w:val="00B00D92"/>
    <w:rsid w:val="00B06B3A"/>
    <w:rsid w:val="00B07056"/>
    <w:rsid w:val="00B07E52"/>
    <w:rsid w:val="00B1754F"/>
    <w:rsid w:val="00B27E14"/>
    <w:rsid w:val="00B3296A"/>
    <w:rsid w:val="00B36226"/>
    <w:rsid w:val="00B42171"/>
    <w:rsid w:val="00B47587"/>
    <w:rsid w:val="00B538CD"/>
    <w:rsid w:val="00B5529C"/>
    <w:rsid w:val="00B556E0"/>
    <w:rsid w:val="00B66570"/>
    <w:rsid w:val="00B70140"/>
    <w:rsid w:val="00B75D2B"/>
    <w:rsid w:val="00BA7A45"/>
    <w:rsid w:val="00BB4255"/>
    <w:rsid w:val="00BB6378"/>
    <w:rsid w:val="00BC3403"/>
    <w:rsid w:val="00BC554C"/>
    <w:rsid w:val="00BF79B0"/>
    <w:rsid w:val="00C06B07"/>
    <w:rsid w:val="00C357EF"/>
    <w:rsid w:val="00C37E29"/>
    <w:rsid w:val="00C44939"/>
    <w:rsid w:val="00C56461"/>
    <w:rsid w:val="00C56BA6"/>
    <w:rsid w:val="00C7345A"/>
    <w:rsid w:val="00C777DF"/>
    <w:rsid w:val="00C863C1"/>
    <w:rsid w:val="00C90539"/>
    <w:rsid w:val="00C9309D"/>
    <w:rsid w:val="00C96729"/>
    <w:rsid w:val="00CA06CA"/>
    <w:rsid w:val="00CA1659"/>
    <w:rsid w:val="00CA3F15"/>
    <w:rsid w:val="00CA4F9E"/>
    <w:rsid w:val="00CA6A6A"/>
    <w:rsid w:val="00CB4E5A"/>
    <w:rsid w:val="00CB5FCF"/>
    <w:rsid w:val="00CC37FF"/>
    <w:rsid w:val="00CC6322"/>
    <w:rsid w:val="00CD5B58"/>
    <w:rsid w:val="00CD7108"/>
    <w:rsid w:val="00CD7F21"/>
    <w:rsid w:val="00CE66C1"/>
    <w:rsid w:val="00CF635D"/>
    <w:rsid w:val="00D027A7"/>
    <w:rsid w:val="00D0341F"/>
    <w:rsid w:val="00D06F13"/>
    <w:rsid w:val="00D0789B"/>
    <w:rsid w:val="00D14893"/>
    <w:rsid w:val="00D230A3"/>
    <w:rsid w:val="00D27D0E"/>
    <w:rsid w:val="00D3114E"/>
    <w:rsid w:val="00D3752F"/>
    <w:rsid w:val="00D50772"/>
    <w:rsid w:val="00D53670"/>
    <w:rsid w:val="00D71F74"/>
    <w:rsid w:val="00D724BC"/>
    <w:rsid w:val="00D75B58"/>
    <w:rsid w:val="00D774F4"/>
    <w:rsid w:val="00D77C8B"/>
    <w:rsid w:val="00D96141"/>
    <w:rsid w:val="00DA5804"/>
    <w:rsid w:val="00DA7777"/>
    <w:rsid w:val="00DA7EB6"/>
    <w:rsid w:val="00DB31AF"/>
    <w:rsid w:val="00DB3654"/>
    <w:rsid w:val="00DC61BD"/>
    <w:rsid w:val="00DD1936"/>
    <w:rsid w:val="00DD6A5D"/>
    <w:rsid w:val="00DE2B28"/>
    <w:rsid w:val="00DE3B99"/>
    <w:rsid w:val="00DF2788"/>
    <w:rsid w:val="00DF5C69"/>
    <w:rsid w:val="00DF68CA"/>
    <w:rsid w:val="00E14C43"/>
    <w:rsid w:val="00E20C9E"/>
    <w:rsid w:val="00E2355D"/>
    <w:rsid w:val="00E241C6"/>
    <w:rsid w:val="00E326AB"/>
    <w:rsid w:val="00E457FD"/>
    <w:rsid w:val="00E45EC1"/>
    <w:rsid w:val="00E53EE9"/>
    <w:rsid w:val="00E6461C"/>
    <w:rsid w:val="00E664EA"/>
    <w:rsid w:val="00E6705B"/>
    <w:rsid w:val="00E71A15"/>
    <w:rsid w:val="00E856B5"/>
    <w:rsid w:val="00E93493"/>
    <w:rsid w:val="00E94027"/>
    <w:rsid w:val="00E94AAB"/>
    <w:rsid w:val="00E9606A"/>
    <w:rsid w:val="00E97080"/>
    <w:rsid w:val="00EA3B59"/>
    <w:rsid w:val="00EA5268"/>
    <w:rsid w:val="00EA7957"/>
    <w:rsid w:val="00EB71B9"/>
    <w:rsid w:val="00EC22EF"/>
    <w:rsid w:val="00EC4607"/>
    <w:rsid w:val="00EC69E7"/>
    <w:rsid w:val="00ED5D00"/>
    <w:rsid w:val="00ED69BB"/>
    <w:rsid w:val="00EF2086"/>
    <w:rsid w:val="00EF4D86"/>
    <w:rsid w:val="00F115B1"/>
    <w:rsid w:val="00F13EC7"/>
    <w:rsid w:val="00F24152"/>
    <w:rsid w:val="00F3753F"/>
    <w:rsid w:val="00F40066"/>
    <w:rsid w:val="00F403EF"/>
    <w:rsid w:val="00F50639"/>
    <w:rsid w:val="00F532FC"/>
    <w:rsid w:val="00F54463"/>
    <w:rsid w:val="00F710A5"/>
    <w:rsid w:val="00F76AA5"/>
    <w:rsid w:val="00F7763D"/>
    <w:rsid w:val="00F94750"/>
    <w:rsid w:val="00F97D20"/>
    <w:rsid w:val="00FB440D"/>
    <w:rsid w:val="00FC41A6"/>
    <w:rsid w:val="00FD2FB9"/>
    <w:rsid w:val="00FE184F"/>
    <w:rsid w:val="00FE2C9C"/>
    <w:rsid w:val="00FE46E9"/>
    <w:rsid w:val="00FF0A31"/>
    <w:rsid w:val="00FF66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F3DD14"/>
  <w15:docId w15:val="{D3B9E20D-73F6-4796-AC6B-77E371C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BB"/>
  </w:style>
  <w:style w:type="paragraph" w:styleId="Overskrift1">
    <w:name w:val="heading 1"/>
    <w:basedOn w:val="Normal"/>
    <w:next w:val="Brdtekst"/>
    <w:link w:val="Overskrift1Tegn"/>
    <w:autoRedefine/>
    <w:uiPriority w:val="1"/>
    <w:qFormat/>
    <w:rsid w:val="00276511"/>
    <w:pPr>
      <w:keepNext/>
      <w:keepLines/>
      <w:numPr>
        <w:numId w:val="11"/>
      </w:numPr>
      <w:contextualSpacing/>
      <w:outlineLvl w:val="0"/>
    </w:pPr>
    <w:rPr>
      <w:rFonts w:eastAsia="Times New Roman" w:cstheme="majorBidi"/>
      <w:b/>
      <w:bCs/>
      <w:szCs w:val="28"/>
      <w:lang w:eastAsia="da-DK"/>
    </w:rPr>
  </w:style>
  <w:style w:type="paragraph" w:styleId="Overskrift2">
    <w:name w:val="heading 2"/>
    <w:basedOn w:val="Normal"/>
    <w:next w:val="Brdtekst"/>
    <w:link w:val="Overskrift2Tegn"/>
    <w:uiPriority w:val="2"/>
    <w:qFormat/>
    <w:rsid w:val="00241A45"/>
    <w:pPr>
      <w:keepNext/>
      <w:keepLines/>
      <w:numPr>
        <w:ilvl w:val="1"/>
        <w:numId w:val="11"/>
      </w:numPr>
      <w:contextualSpacing/>
      <w:outlineLvl w:val="1"/>
    </w:pPr>
    <w:rPr>
      <w:rFonts w:eastAsiaTheme="majorEastAsia" w:cstheme="majorBidi"/>
      <w:bCs/>
      <w:i/>
      <w:szCs w:val="26"/>
    </w:rPr>
  </w:style>
  <w:style w:type="paragraph" w:styleId="Overskrift3">
    <w:name w:val="heading 3"/>
    <w:basedOn w:val="Normal"/>
    <w:next w:val="Brdtekst"/>
    <w:link w:val="Overskrift3Tegn"/>
    <w:uiPriority w:val="3"/>
    <w:qFormat/>
    <w:rsid w:val="00645B12"/>
    <w:pPr>
      <w:keepNext/>
      <w:keepLines/>
      <w:numPr>
        <w:ilvl w:val="2"/>
        <w:numId w:val="11"/>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11"/>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11"/>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11"/>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11"/>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11"/>
      </w:numPr>
      <w:spacing w:before="260"/>
      <w:contextualSpacing/>
      <w:outlineLvl w:val="7"/>
    </w:pPr>
    <w:rPr>
      <w:rFonts w:eastAsiaTheme="majorEastAsia" w:cstheme="majorBidi"/>
      <w:b/>
    </w:rPr>
  </w:style>
  <w:style w:type="paragraph" w:styleId="Overskrift9">
    <w:name w:val="heading 9"/>
    <w:basedOn w:val="Normal"/>
    <w:next w:val="Normal"/>
    <w:link w:val="Overskrift9Tegn"/>
    <w:uiPriority w:val="4"/>
    <w:semiHidden/>
    <w:rsid w:val="00645B12"/>
    <w:pPr>
      <w:keepNext/>
      <w:keepLines/>
      <w:numPr>
        <w:ilvl w:val="8"/>
        <w:numId w:val="11"/>
      </w:numPr>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276511"/>
    <w:rPr>
      <w:rFonts w:eastAsia="Times New Roman" w:cstheme="majorBidi"/>
      <w:b/>
      <w:bCs/>
      <w:szCs w:val="28"/>
      <w:lang w:eastAsia="da-DK"/>
    </w:rPr>
  </w:style>
  <w:style w:type="character" w:customStyle="1" w:styleId="Overskrift2Tegn">
    <w:name w:val="Overskrift 2 Tegn"/>
    <w:basedOn w:val="Standardskrifttypeiafsnit"/>
    <w:link w:val="Overskrift2"/>
    <w:uiPriority w:val="2"/>
    <w:rsid w:val="00241A45"/>
    <w:rPr>
      <w:rFonts w:eastAsiaTheme="majorEastAsia" w:cstheme="majorBidi"/>
      <w:bCs/>
      <w:i/>
      <w:szCs w:val="26"/>
    </w:rPr>
  </w:style>
  <w:style w:type="character" w:customStyle="1" w:styleId="Overskrift3Tegn">
    <w:name w:val="Overskrift 3 Tegn"/>
    <w:basedOn w:val="Standardskrifttypeiafsnit"/>
    <w:link w:val="Overskrift3"/>
    <w:uiPriority w:val="3"/>
    <w:rsid w:val="00645B12"/>
    <w:rPr>
      <w:rFonts w:eastAsiaTheme="majorEastAsia" w:cstheme="majorBidi"/>
      <w:b/>
      <w:bCs/>
      <w:i/>
    </w:rPr>
  </w:style>
  <w:style w:type="character" w:customStyle="1" w:styleId="Overskrift4Tegn">
    <w:name w:val="Overskrift 4 Tegn"/>
    <w:basedOn w:val="Standardskrifttypeiafsnit"/>
    <w:link w:val="Overskrift4"/>
    <w:uiPriority w:val="4"/>
    <w:rsid w:val="00645B12"/>
    <w:rPr>
      <w:rFonts w:eastAsiaTheme="majorEastAsia" w:cstheme="majorBidi"/>
      <w:bCs/>
      <w:i/>
      <w:iCs/>
    </w:rPr>
  </w:style>
  <w:style w:type="character" w:customStyle="1" w:styleId="Overskrift5Tegn">
    <w:name w:val="Overskrift 5 Tegn"/>
    <w:basedOn w:val="Standardskrifttypeiafsnit"/>
    <w:link w:val="Overskrift5"/>
    <w:uiPriority w:val="4"/>
    <w:semiHidden/>
    <w:rsid w:val="00645B12"/>
    <w:rPr>
      <w:rFonts w:eastAsiaTheme="majorEastAsia" w:cstheme="majorBidi"/>
      <w:b/>
    </w:rPr>
  </w:style>
  <w:style w:type="character" w:customStyle="1" w:styleId="Overskrift6Tegn">
    <w:name w:val="Overskrift 6 Tegn"/>
    <w:basedOn w:val="Standardskrifttypeiafsnit"/>
    <w:link w:val="Overskrift6"/>
    <w:uiPriority w:val="4"/>
    <w:semiHidden/>
    <w:rsid w:val="00645B12"/>
    <w:rPr>
      <w:rFonts w:eastAsiaTheme="majorEastAsia" w:cstheme="majorBidi"/>
      <w:b/>
      <w:iCs/>
    </w:rPr>
  </w:style>
  <w:style w:type="character" w:customStyle="1" w:styleId="Overskrift7Tegn">
    <w:name w:val="Overskrift 7 Tegn"/>
    <w:basedOn w:val="Standardskrifttypeiafsnit"/>
    <w:link w:val="Overskrift7"/>
    <w:uiPriority w:val="4"/>
    <w:semiHidden/>
    <w:rsid w:val="00645B12"/>
    <w:rPr>
      <w:rFonts w:eastAsiaTheme="majorEastAsia" w:cstheme="majorBidi"/>
      <w:b/>
      <w:iCs/>
    </w:rPr>
  </w:style>
  <w:style w:type="character" w:customStyle="1" w:styleId="Overskrift8Tegn">
    <w:name w:val="Overskrift 8 Tegn"/>
    <w:basedOn w:val="Standardskrifttypeiafsnit"/>
    <w:link w:val="Overskrift8"/>
    <w:uiPriority w:val="4"/>
    <w:semiHidden/>
    <w:rsid w:val="00645B12"/>
    <w:rPr>
      <w:rFonts w:eastAsiaTheme="majorEastAsia" w:cstheme="majorBidi"/>
      <w:b/>
    </w:rPr>
  </w:style>
  <w:style w:type="character" w:customStyle="1" w:styleId="Overskrift9Tegn">
    <w:name w:val="Overskrift 9 Tegn"/>
    <w:basedOn w:val="Standardskrifttypeiafsnit"/>
    <w:link w:val="Overskrift9"/>
    <w:uiPriority w:val="4"/>
    <w:semiHidden/>
    <w:rsid w:val="00645B12"/>
    <w:rPr>
      <w:rFonts w:eastAsiaTheme="majorEastAsia" w:cstheme="majorBidi"/>
      <w:b/>
      <w:iCs/>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22"/>
    <w:qFormat/>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7C4F82"/>
    <w:pPr>
      <w:outlineLvl w:val="1"/>
    </w:pPr>
    <w:rPr>
      <w:rFonts w:asciiTheme="minorHAnsi" w:hAnsiTheme="minorHAnsi"/>
      <w:bCs/>
    </w:rPr>
  </w:style>
  <w:style w:type="paragraph" w:styleId="Indholdsfortegnelse2">
    <w:name w:val="toc 2"/>
    <w:basedOn w:val="Normal"/>
    <w:next w:val="Normal"/>
    <w:uiPriority w:val="39"/>
    <w:rsid w:val="007C4F82"/>
    <w:rPr>
      <w:rFonts w:asciiTheme="minorHAnsi" w:hAnsiTheme="minorHAnsi"/>
      <w:iCs/>
    </w:rPr>
  </w:style>
  <w:style w:type="paragraph" w:styleId="Indholdsfortegnelse3">
    <w:name w:val="toc 3"/>
    <w:basedOn w:val="Normal"/>
    <w:next w:val="Normal"/>
    <w:uiPriority w:val="39"/>
    <w:rsid w:val="00152BED"/>
    <w:pPr>
      <w:ind w:left="480"/>
    </w:pPr>
    <w:rPr>
      <w:rFonts w:asciiTheme="minorHAnsi" w:hAnsiTheme="minorHAnsi"/>
      <w:sz w:val="20"/>
    </w:rPr>
  </w:style>
  <w:style w:type="paragraph" w:styleId="Indholdsfortegnelse4">
    <w:name w:val="toc 4"/>
    <w:basedOn w:val="Normal"/>
    <w:next w:val="Normal"/>
    <w:uiPriority w:val="9"/>
    <w:semiHidden/>
    <w:rsid w:val="00152BED"/>
    <w:pPr>
      <w:ind w:left="720"/>
    </w:pPr>
    <w:rPr>
      <w:rFonts w:asciiTheme="minorHAnsi" w:hAnsiTheme="minorHAnsi"/>
      <w:sz w:val="20"/>
    </w:rPr>
  </w:style>
  <w:style w:type="paragraph" w:styleId="Indholdsfortegnelse5">
    <w:name w:val="toc 5"/>
    <w:basedOn w:val="Normal"/>
    <w:next w:val="Normal"/>
    <w:uiPriority w:val="9"/>
    <w:semiHidden/>
    <w:rsid w:val="00152BED"/>
    <w:pPr>
      <w:ind w:left="960"/>
    </w:pPr>
    <w:rPr>
      <w:rFonts w:asciiTheme="minorHAnsi" w:hAnsiTheme="minorHAnsi"/>
      <w:sz w:val="20"/>
    </w:rPr>
  </w:style>
  <w:style w:type="paragraph" w:styleId="Indholdsfortegnelse6">
    <w:name w:val="toc 6"/>
    <w:basedOn w:val="Normal"/>
    <w:next w:val="Normal"/>
    <w:uiPriority w:val="9"/>
    <w:semiHidden/>
    <w:rsid w:val="00152BED"/>
    <w:pPr>
      <w:ind w:left="1200"/>
    </w:pPr>
    <w:rPr>
      <w:rFonts w:asciiTheme="minorHAnsi" w:hAnsiTheme="minorHAnsi"/>
      <w:sz w:val="20"/>
    </w:rPr>
  </w:style>
  <w:style w:type="paragraph" w:styleId="Indholdsfortegnelse7">
    <w:name w:val="toc 7"/>
    <w:basedOn w:val="Normal"/>
    <w:next w:val="Normal"/>
    <w:uiPriority w:val="9"/>
    <w:semiHidden/>
    <w:rsid w:val="00152BED"/>
    <w:pPr>
      <w:ind w:left="1440"/>
    </w:pPr>
    <w:rPr>
      <w:rFonts w:asciiTheme="minorHAnsi" w:hAnsiTheme="minorHAnsi"/>
      <w:sz w:val="20"/>
    </w:rPr>
  </w:style>
  <w:style w:type="paragraph" w:styleId="Indholdsfortegnelse8">
    <w:name w:val="toc 8"/>
    <w:basedOn w:val="Normal"/>
    <w:next w:val="Normal"/>
    <w:uiPriority w:val="9"/>
    <w:semiHidden/>
    <w:rsid w:val="00152BED"/>
    <w:pPr>
      <w:ind w:left="1680"/>
    </w:pPr>
    <w:rPr>
      <w:rFonts w:asciiTheme="minorHAnsi" w:hAnsiTheme="minorHAnsi"/>
      <w:sz w:val="20"/>
    </w:rPr>
  </w:style>
  <w:style w:type="paragraph" w:styleId="Indholdsfortegnelse9">
    <w:name w:val="toc 9"/>
    <w:basedOn w:val="Normal"/>
    <w:next w:val="Normal"/>
    <w:uiPriority w:val="9"/>
    <w:semiHidden/>
    <w:rsid w:val="00152BED"/>
    <w:pPr>
      <w:ind w:left="1920"/>
    </w:pPr>
    <w:rPr>
      <w:rFonts w:asciiTheme="minorHAnsi" w:hAnsiTheme="minorHAnsi"/>
      <w:sz w:val="20"/>
    </w:rPr>
  </w:style>
  <w:style w:type="paragraph" w:styleId="Overskrift">
    <w:name w:val="TOC Heading"/>
    <w:basedOn w:val="Normal"/>
    <w:next w:val="Normal"/>
    <w:uiPriority w:val="39"/>
    <w:qFormat/>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12"/>
      </w:numPr>
    </w:pPr>
    <w:rPr>
      <w:szCs w:val="22"/>
    </w:rPr>
  </w:style>
  <w:style w:type="paragraph" w:styleId="Opstilling-talellerbogst">
    <w:name w:val="List Number"/>
    <w:basedOn w:val="Normal"/>
    <w:uiPriority w:val="5"/>
    <w:qFormat/>
    <w:rsid w:val="00924450"/>
    <w:pPr>
      <w:numPr>
        <w:numId w:val="13"/>
      </w:numPr>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645B12"/>
    <w:pPr>
      <w:spacing w:after="300"/>
      <w:contextualSpacing/>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10"/>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lang w:eastAsia="da-DK"/>
    </w:rPr>
  </w:style>
  <w:style w:type="character" w:customStyle="1" w:styleId="BrdtekstTegn">
    <w:name w:val="Brødtekst Tegn"/>
    <w:basedOn w:val="Standardskrifttypeiafsnit"/>
    <w:link w:val="Brdtekst"/>
    <w:rsid w:val="00171428"/>
    <w:rPr>
      <w:rFonts w:eastAsia="Times New Roman" w:cs="Times New Roman"/>
      <w:szCs w:val="20"/>
      <w:lang w:val="da-DK" w:eastAsia="da-DK"/>
    </w:rPr>
  </w:style>
  <w:style w:type="table" w:customStyle="1" w:styleId="Opstilling">
    <w:name w:val="Opstilling"/>
    <w:basedOn w:val="Tabel-Normal"/>
    <w:uiPriority w:val="99"/>
    <w:rsid w:val="008E5967"/>
    <w:pPr>
      <w:spacing w:before="68" w:after="120" w:line="280" w:lineRule="atLeast"/>
      <w:ind w:left="113" w:right="113"/>
    </w:pPr>
    <w:rPr>
      <w:rFonts w:ascii="Calibri" w:hAnsi="Calibri"/>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4935F1"/>
    <w:rPr>
      <w:rFonts w:asciiTheme="majorHAnsi" w:eastAsiaTheme="majorEastAsia" w:hAnsiTheme="majorHAnsi" w:cstheme="majorBidi"/>
      <w:sz w:val="20"/>
    </w:rPr>
  </w:style>
  <w:style w:type="table" w:styleId="Almindeligtabel1">
    <w:name w:val="Plain Table 1"/>
    <w:basedOn w:val="Tabel-Normal"/>
    <w:uiPriority w:val="41"/>
    <w:rsid w:val="004935F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935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935F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935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935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4935F1"/>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935F1"/>
    <w:rPr>
      <w:rFonts w:ascii="Consolas" w:hAnsi="Consolas"/>
      <w:sz w:val="21"/>
      <w:szCs w:val="21"/>
      <w:lang w:val="da-DK"/>
    </w:rPr>
  </w:style>
  <w:style w:type="character" w:styleId="BesgtLink">
    <w:name w:val="FollowedHyperlink"/>
    <w:basedOn w:val="Standardskrifttypeiafsnit"/>
    <w:uiPriority w:val="21"/>
    <w:semiHidden/>
    <w:unhideWhenUsed/>
    <w:rsid w:val="004935F1"/>
    <w:rPr>
      <w:color w:val="800080" w:themeColor="followedHyperlink"/>
      <w:u w:val="single"/>
      <w:lang w:val="da-DK"/>
    </w:rPr>
  </w:style>
  <w:style w:type="paragraph" w:styleId="Bibliografi">
    <w:name w:val="Bibliography"/>
    <w:basedOn w:val="Normal"/>
    <w:next w:val="Normal"/>
    <w:uiPriority w:val="99"/>
    <w:semiHidden/>
    <w:unhideWhenUsed/>
    <w:rsid w:val="004935F1"/>
  </w:style>
  <w:style w:type="paragraph" w:styleId="Brevhoved">
    <w:name w:val="Message Header"/>
    <w:basedOn w:val="Normal"/>
    <w:link w:val="BrevhovedTegn"/>
    <w:uiPriority w:val="99"/>
    <w:semiHidden/>
    <w:unhideWhenUsed/>
    <w:rsid w:val="004935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4935F1"/>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4935F1"/>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4935F1"/>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4935F1"/>
    <w:pPr>
      <w:spacing w:after="120"/>
      <w:ind w:left="283"/>
    </w:pPr>
  </w:style>
  <w:style w:type="character" w:customStyle="1" w:styleId="BrdtekstindrykningTegn">
    <w:name w:val="Brødtekstindrykning Tegn"/>
    <w:basedOn w:val="Standardskrifttypeiafsnit"/>
    <w:link w:val="Brdtekstindrykning"/>
    <w:uiPriority w:val="99"/>
    <w:semiHidden/>
    <w:rsid w:val="004935F1"/>
    <w:rPr>
      <w:lang w:val="da-DK"/>
    </w:rPr>
  </w:style>
  <w:style w:type="paragraph" w:styleId="Brdtekst-frstelinjeindrykning2">
    <w:name w:val="Body Text First Indent 2"/>
    <w:basedOn w:val="Brdtekstindrykning"/>
    <w:link w:val="Brdtekst-frstelinjeindrykning2Tegn"/>
    <w:uiPriority w:val="99"/>
    <w:semiHidden/>
    <w:unhideWhenUsed/>
    <w:rsid w:val="004935F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935F1"/>
    <w:rPr>
      <w:lang w:val="da-DK"/>
    </w:rPr>
  </w:style>
  <w:style w:type="paragraph" w:styleId="Brdtekst2">
    <w:name w:val="Body Text 2"/>
    <w:basedOn w:val="Normal"/>
    <w:link w:val="Brdtekst2Tegn"/>
    <w:uiPriority w:val="99"/>
    <w:semiHidden/>
    <w:unhideWhenUsed/>
    <w:rsid w:val="004935F1"/>
    <w:pPr>
      <w:spacing w:after="120" w:line="480" w:lineRule="auto"/>
    </w:pPr>
  </w:style>
  <w:style w:type="character" w:customStyle="1" w:styleId="Brdtekst2Tegn">
    <w:name w:val="Brødtekst 2 Tegn"/>
    <w:basedOn w:val="Standardskrifttypeiafsnit"/>
    <w:link w:val="Brdtekst2"/>
    <w:uiPriority w:val="99"/>
    <w:semiHidden/>
    <w:rsid w:val="004935F1"/>
    <w:rPr>
      <w:lang w:val="da-DK"/>
    </w:rPr>
  </w:style>
  <w:style w:type="paragraph" w:styleId="Brdtekst3">
    <w:name w:val="Body Text 3"/>
    <w:basedOn w:val="Normal"/>
    <w:link w:val="Brdtekst3Tegn"/>
    <w:uiPriority w:val="99"/>
    <w:semiHidden/>
    <w:unhideWhenUsed/>
    <w:rsid w:val="004935F1"/>
    <w:pPr>
      <w:spacing w:after="120"/>
    </w:pPr>
    <w:rPr>
      <w:sz w:val="16"/>
      <w:szCs w:val="16"/>
    </w:rPr>
  </w:style>
  <w:style w:type="character" w:customStyle="1" w:styleId="Brdtekst3Tegn">
    <w:name w:val="Brødtekst 3 Tegn"/>
    <w:basedOn w:val="Standardskrifttypeiafsnit"/>
    <w:link w:val="Brdtekst3"/>
    <w:uiPriority w:val="99"/>
    <w:semiHidden/>
    <w:rsid w:val="004935F1"/>
    <w:rPr>
      <w:sz w:val="16"/>
      <w:szCs w:val="16"/>
      <w:lang w:val="da-DK"/>
    </w:rPr>
  </w:style>
  <w:style w:type="paragraph" w:styleId="Brdtekstindrykning2">
    <w:name w:val="Body Text Indent 2"/>
    <w:basedOn w:val="Normal"/>
    <w:link w:val="Brdtekstindrykning2Tegn"/>
    <w:uiPriority w:val="99"/>
    <w:semiHidden/>
    <w:unhideWhenUsed/>
    <w:rsid w:val="004935F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935F1"/>
    <w:rPr>
      <w:lang w:val="da-DK"/>
    </w:rPr>
  </w:style>
  <w:style w:type="paragraph" w:styleId="Brdtekstindrykning3">
    <w:name w:val="Body Text Indent 3"/>
    <w:basedOn w:val="Normal"/>
    <w:link w:val="Brdtekstindrykning3Tegn"/>
    <w:uiPriority w:val="99"/>
    <w:semiHidden/>
    <w:unhideWhenUsed/>
    <w:rsid w:val="004935F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935F1"/>
    <w:rPr>
      <w:sz w:val="16"/>
      <w:szCs w:val="16"/>
      <w:lang w:val="da-DK"/>
    </w:rPr>
  </w:style>
  <w:style w:type="paragraph" w:styleId="Dato">
    <w:name w:val="Date"/>
    <w:basedOn w:val="Normal"/>
    <w:next w:val="Normal"/>
    <w:link w:val="DatoTegn"/>
    <w:uiPriority w:val="99"/>
    <w:semiHidden/>
    <w:rsid w:val="004935F1"/>
  </w:style>
  <w:style w:type="character" w:customStyle="1" w:styleId="DatoTegn">
    <w:name w:val="Dato Tegn"/>
    <w:basedOn w:val="Standardskrifttypeiafsnit"/>
    <w:link w:val="Dato"/>
    <w:uiPriority w:val="99"/>
    <w:semiHidden/>
    <w:rsid w:val="004935F1"/>
    <w:rPr>
      <w:lang w:val="da-DK"/>
    </w:rPr>
  </w:style>
  <w:style w:type="paragraph" w:styleId="Dokumentoversigt">
    <w:name w:val="Document Map"/>
    <w:basedOn w:val="Normal"/>
    <w:link w:val="DokumentoversigtTegn"/>
    <w:uiPriority w:val="99"/>
    <w:semiHidden/>
    <w:unhideWhenUsed/>
    <w:rsid w:val="004935F1"/>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935F1"/>
    <w:rPr>
      <w:rFonts w:ascii="Segoe UI" w:hAnsi="Segoe UI" w:cs="Segoe UI"/>
      <w:sz w:val="16"/>
      <w:szCs w:val="16"/>
      <w:lang w:val="da-DK"/>
    </w:rPr>
  </w:style>
  <w:style w:type="table" w:styleId="Farvetgitter">
    <w:name w:val="Colorful Grid"/>
    <w:basedOn w:val="Tabel-Normal"/>
    <w:uiPriority w:val="73"/>
    <w:semiHidden/>
    <w:unhideWhenUsed/>
    <w:rsid w:val="004935F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935F1"/>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4935F1"/>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4935F1"/>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4935F1"/>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4935F1"/>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4935F1"/>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4935F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935F1"/>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4935F1"/>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4935F1"/>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4935F1"/>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4935F1"/>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4935F1"/>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4935F1"/>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935F1"/>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935F1"/>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935F1"/>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4935F1"/>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935F1"/>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935F1"/>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4935F1"/>
    <w:rPr>
      <w:vertAlign w:val="superscript"/>
      <w:lang w:val="da-DK"/>
    </w:rPr>
  </w:style>
  <w:style w:type="paragraph" w:styleId="FormateretHTML">
    <w:name w:val="HTML Preformatted"/>
    <w:basedOn w:val="Normal"/>
    <w:link w:val="FormateretHTMLTegn"/>
    <w:uiPriority w:val="99"/>
    <w:semiHidden/>
    <w:unhideWhenUsed/>
    <w:rsid w:val="004935F1"/>
    <w:rPr>
      <w:rFonts w:ascii="Consolas" w:hAnsi="Consolas"/>
      <w:sz w:val="20"/>
    </w:rPr>
  </w:style>
  <w:style w:type="character" w:customStyle="1" w:styleId="FormateretHTMLTegn">
    <w:name w:val="Formateret HTML Tegn"/>
    <w:basedOn w:val="Standardskrifttypeiafsnit"/>
    <w:link w:val="FormateretHTML"/>
    <w:uiPriority w:val="99"/>
    <w:semiHidden/>
    <w:rsid w:val="004935F1"/>
    <w:rPr>
      <w:rFonts w:ascii="Consolas" w:hAnsi="Consolas"/>
      <w:sz w:val="20"/>
      <w:szCs w:val="20"/>
      <w:lang w:val="da-DK"/>
    </w:rPr>
  </w:style>
  <w:style w:type="character" w:styleId="Fremhv">
    <w:name w:val="Emphasis"/>
    <w:basedOn w:val="Standardskrifttypeiafsnit"/>
    <w:uiPriority w:val="20"/>
    <w:qFormat/>
    <w:rsid w:val="004935F1"/>
    <w:rPr>
      <w:i/>
      <w:iCs/>
      <w:lang w:val="da-DK"/>
    </w:rPr>
  </w:style>
  <w:style w:type="table" w:styleId="Gittertabel1-lys">
    <w:name w:val="Grid Table 1 Light"/>
    <w:basedOn w:val="Tabel-Normal"/>
    <w:uiPriority w:val="46"/>
    <w:rsid w:val="004935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935F1"/>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935F1"/>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935F1"/>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935F1"/>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935F1"/>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935F1"/>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935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935F1"/>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4935F1"/>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4935F1"/>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4935F1"/>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4935F1"/>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4935F1"/>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4935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935F1"/>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4935F1"/>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4935F1"/>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4935F1"/>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4935F1"/>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4935F1"/>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4935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935F1"/>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4935F1"/>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4935F1"/>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4935F1"/>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4935F1"/>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4935F1"/>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4935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935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4935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4935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4935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4935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4935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4935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935F1"/>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4935F1"/>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4935F1"/>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4935F1"/>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4935F1"/>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4935F1"/>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4935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935F1"/>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4935F1"/>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4935F1"/>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4935F1"/>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4935F1"/>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4935F1"/>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paragraph" w:styleId="HTML-adresse">
    <w:name w:val="HTML Address"/>
    <w:basedOn w:val="Normal"/>
    <w:link w:val="HTML-adresseTegn"/>
    <w:uiPriority w:val="99"/>
    <w:semiHidden/>
    <w:unhideWhenUsed/>
    <w:rsid w:val="004935F1"/>
    <w:rPr>
      <w:i/>
      <w:iCs/>
    </w:rPr>
  </w:style>
  <w:style w:type="character" w:customStyle="1" w:styleId="HTML-adresseTegn">
    <w:name w:val="HTML-adresse Tegn"/>
    <w:basedOn w:val="Standardskrifttypeiafsnit"/>
    <w:link w:val="HTML-adresse"/>
    <w:uiPriority w:val="99"/>
    <w:semiHidden/>
    <w:rsid w:val="004935F1"/>
    <w:rPr>
      <w:i/>
      <w:iCs/>
      <w:lang w:val="da-DK"/>
    </w:rPr>
  </w:style>
  <w:style w:type="character" w:styleId="HTML-akronym">
    <w:name w:val="HTML Acronym"/>
    <w:basedOn w:val="Standardskrifttypeiafsnit"/>
    <w:uiPriority w:val="99"/>
    <w:semiHidden/>
    <w:unhideWhenUsed/>
    <w:rsid w:val="004935F1"/>
    <w:rPr>
      <w:lang w:val="da-DK"/>
    </w:rPr>
  </w:style>
  <w:style w:type="character" w:styleId="HTML-citat">
    <w:name w:val="HTML Cite"/>
    <w:basedOn w:val="Standardskrifttypeiafsnit"/>
    <w:uiPriority w:val="99"/>
    <w:semiHidden/>
    <w:unhideWhenUsed/>
    <w:rsid w:val="004935F1"/>
    <w:rPr>
      <w:i/>
      <w:iCs/>
      <w:lang w:val="da-DK"/>
    </w:rPr>
  </w:style>
  <w:style w:type="character" w:styleId="HTML-definition">
    <w:name w:val="HTML Definition"/>
    <w:basedOn w:val="Standardskrifttypeiafsnit"/>
    <w:uiPriority w:val="99"/>
    <w:semiHidden/>
    <w:unhideWhenUsed/>
    <w:rsid w:val="004935F1"/>
    <w:rPr>
      <w:i/>
      <w:iCs/>
      <w:lang w:val="da-DK"/>
    </w:rPr>
  </w:style>
  <w:style w:type="character" w:styleId="HTML-eksempel">
    <w:name w:val="HTML Sample"/>
    <w:basedOn w:val="Standardskrifttypeiafsnit"/>
    <w:uiPriority w:val="99"/>
    <w:semiHidden/>
    <w:unhideWhenUsed/>
    <w:rsid w:val="004935F1"/>
    <w:rPr>
      <w:rFonts w:ascii="Consolas" w:hAnsi="Consolas"/>
      <w:sz w:val="24"/>
      <w:szCs w:val="24"/>
      <w:lang w:val="da-DK"/>
    </w:rPr>
  </w:style>
  <w:style w:type="character" w:styleId="HTML-kode">
    <w:name w:val="HTML Code"/>
    <w:basedOn w:val="Standardskrifttypeiafsnit"/>
    <w:uiPriority w:val="99"/>
    <w:semiHidden/>
    <w:unhideWhenUsed/>
    <w:rsid w:val="004935F1"/>
    <w:rPr>
      <w:rFonts w:ascii="Consolas" w:hAnsi="Consolas"/>
      <w:sz w:val="20"/>
      <w:szCs w:val="20"/>
      <w:lang w:val="da-DK"/>
    </w:rPr>
  </w:style>
  <w:style w:type="character" w:styleId="HTML-skrivemaskine">
    <w:name w:val="HTML Typewriter"/>
    <w:basedOn w:val="Standardskrifttypeiafsnit"/>
    <w:uiPriority w:val="99"/>
    <w:semiHidden/>
    <w:unhideWhenUsed/>
    <w:rsid w:val="004935F1"/>
    <w:rPr>
      <w:rFonts w:ascii="Consolas" w:hAnsi="Consolas"/>
      <w:sz w:val="20"/>
      <w:szCs w:val="20"/>
      <w:lang w:val="da-DK"/>
    </w:rPr>
  </w:style>
  <w:style w:type="character" w:styleId="HTML-tastatur">
    <w:name w:val="HTML Keyboard"/>
    <w:basedOn w:val="Standardskrifttypeiafsnit"/>
    <w:uiPriority w:val="99"/>
    <w:semiHidden/>
    <w:unhideWhenUsed/>
    <w:rsid w:val="004935F1"/>
    <w:rPr>
      <w:rFonts w:ascii="Consolas" w:hAnsi="Consolas"/>
      <w:sz w:val="20"/>
      <w:szCs w:val="20"/>
      <w:lang w:val="da-DK"/>
    </w:rPr>
  </w:style>
  <w:style w:type="character" w:styleId="HTML-variabel">
    <w:name w:val="HTML Variable"/>
    <w:basedOn w:val="Standardskrifttypeiafsnit"/>
    <w:uiPriority w:val="99"/>
    <w:semiHidden/>
    <w:unhideWhenUsed/>
    <w:rsid w:val="004935F1"/>
    <w:rPr>
      <w:i/>
      <w:iCs/>
      <w:lang w:val="da-DK"/>
    </w:rPr>
  </w:style>
  <w:style w:type="character" w:styleId="Hyperlink">
    <w:name w:val="Hyperlink"/>
    <w:basedOn w:val="Standardskrifttypeiafsnit"/>
    <w:uiPriority w:val="99"/>
    <w:unhideWhenUsed/>
    <w:rsid w:val="004935F1"/>
    <w:rPr>
      <w:color w:val="0000FF" w:themeColor="hyperlink"/>
      <w:u w:val="single"/>
      <w:lang w:val="da-DK"/>
    </w:rPr>
  </w:style>
  <w:style w:type="paragraph" w:styleId="Indeks1">
    <w:name w:val="index 1"/>
    <w:basedOn w:val="Normal"/>
    <w:next w:val="Normal"/>
    <w:autoRedefine/>
    <w:uiPriority w:val="99"/>
    <w:semiHidden/>
    <w:unhideWhenUsed/>
    <w:qFormat/>
    <w:rsid w:val="00DD6A5D"/>
  </w:style>
  <w:style w:type="paragraph" w:styleId="Indeks2">
    <w:name w:val="index 2"/>
    <w:basedOn w:val="Normal"/>
    <w:next w:val="Normal"/>
    <w:autoRedefine/>
    <w:uiPriority w:val="99"/>
    <w:semiHidden/>
    <w:unhideWhenUsed/>
    <w:rsid w:val="004935F1"/>
    <w:pPr>
      <w:ind w:left="480" w:hanging="240"/>
    </w:pPr>
  </w:style>
  <w:style w:type="paragraph" w:styleId="Indeks3">
    <w:name w:val="index 3"/>
    <w:basedOn w:val="Normal"/>
    <w:next w:val="Normal"/>
    <w:autoRedefine/>
    <w:uiPriority w:val="99"/>
    <w:semiHidden/>
    <w:unhideWhenUsed/>
    <w:rsid w:val="004935F1"/>
    <w:pPr>
      <w:ind w:left="720" w:hanging="240"/>
    </w:pPr>
  </w:style>
  <w:style w:type="paragraph" w:styleId="Indeks4">
    <w:name w:val="index 4"/>
    <w:basedOn w:val="Normal"/>
    <w:next w:val="Normal"/>
    <w:autoRedefine/>
    <w:uiPriority w:val="99"/>
    <w:semiHidden/>
    <w:unhideWhenUsed/>
    <w:rsid w:val="004935F1"/>
    <w:pPr>
      <w:ind w:left="960" w:hanging="240"/>
    </w:pPr>
  </w:style>
  <w:style w:type="paragraph" w:styleId="Indeks5">
    <w:name w:val="index 5"/>
    <w:basedOn w:val="Normal"/>
    <w:next w:val="Normal"/>
    <w:autoRedefine/>
    <w:uiPriority w:val="99"/>
    <w:semiHidden/>
    <w:unhideWhenUsed/>
    <w:rsid w:val="004935F1"/>
    <w:pPr>
      <w:ind w:left="1200" w:hanging="240"/>
    </w:pPr>
  </w:style>
  <w:style w:type="paragraph" w:styleId="Indeks6">
    <w:name w:val="index 6"/>
    <w:basedOn w:val="Normal"/>
    <w:next w:val="Normal"/>
    <w:autoRedefine/>
    <w:uiPriority w:val="99"/>
    <w:semiHidden/>
    <w:unhideWhenUsed/>
    <w:rsid w:val="004935F1"/>
    <w:pPr>
      <w:ind w:left="1440" w:hanging="240"/>
    </w:pPr>
  </w:style>
  <w:style w:type="paragraph" w:styleId="Indeks7">
    <w:name w:val="index 7"/>
    <w:basedOn w:val="Normal"/>
    <w:next w:val="Normal"/>
    <w:autoRedefine/>
    <w:uiPriority w:val="99"/>
    <w:semiHidden/>
    <w:unhideWhenUsed/>
    <w:rsid w:val="004935F1"/>
    <w:pPr>
      <w:ind w:left="1680" w:hanging="240"/>
    </w:pPr>
  </w:style>
  <w:style w:type="paragraph" w:styleId="Indeks8">
    <w:name w:val="index 8"/>
    <w:basedOn w:val="Normal"/>
    <w:next w:val="Normal"/>
    <w:autoRedefine/>
    <w:uiPriority w:val="99"/>
    <w:semiHidden/>
    <w:unhideWhenUsed/>
    <w:rsid w:val="004935F1"/>
    <w:pPr>
      <w:ind w:left="1920" w:hanging="240"/>
    </w:pPr>
  </w:style>
  <w:style w:type="paragraph" w:styleId="Indeks9">
    <w:name w:val="index 9"/>
    <w:basedOn w:val="Normal"/>
    <w:next w:val="Normal"/>
    <w:autoRedefine/>
    <w:uiPriority w:val="99"/>
    <w:semiHidden/>
    <w:unhideWhenUsed/>
    <w:rsid w:val="004935F1"/>
    <w:pPr>
      <w:ind w:left="2160" w:hanging="240"/>
    </w:pPr>
  </w:style>
  <w:style w:type="paragraph" w:styleId="Indeksoverskrift">
    <w:name w:val="index heading"/>
    <w:basedOn w:val="Normal"/>
    <w:next w:val="Indeks1"/>
    <w:uiPriority w:val="99"/>
    <w:semiHidden/>
    <w:unhideWhenUsed/>
    <w:rsid w:val="004935F1"/>
    <w:rPr>
      <w:rFonts w:asciiTheme="majorHAnsi" w:eastAsiaTheme="majorEastAsia" w:hAnsiTheme="majorHAnsi" w:cstheme="majorBidi"/>
      <w:b/>
      <w:bCs/>
    </w:rPr>
  </w:style>
  <w:style w:type="paragraph" w:styleId="Ingenafstand">
    <w:name w:val="No Spacing"/>
    <w:uiPriority w:val="99"/>
    <w:semiHidden/>
    <w:rsid w:val="004935F1"/>
  </w:style>
  <w:style w:type="paragraph" w:styleId="Kommentartekst">
    <w:name w:val="annotation text"/>
    <w:basedOn w:val="Normal"/>
    <w:link w:val="KommentartekstTegn"/>
    <w:uiPriority w:val="99"/>
    <w:semiHidden/>
    <w:unhideWhenUsed/>
    <w:rsid w:val="004935F1"/>
    <w:rPr>
      <w:sz w:val="20"/>
    </w:rPr>
  </w:style>
  <w:style w:type="character" w:customStyle="1" w:styleId="KommentartekstTegn">
    <w:name w:val="Kommentartekst Tegn"/>
    <w:basedOn w:val="Standardskrifttypeiafsnit"/>
    <w:link w:val="Kommentartekst"/>
    <w:uiPriority w:val="99"/>
    <w:semiHidden/>
    <w:rsid w:val="004935F1"/>
    <w:rPr>
      <w:sz w:val="20"/>
      <w:szCs w:val="20"/>
      <w:lang w:val="da-DK"/>
    </w:rPr>
  </w:style>
  <w:style w:type="paragraph" w:styleId="Kommentaremne">
    <w:name w:val="annotation subject"/>
    <w:basedOn w:val="Kommentartekst"/>
    <w:next w:val="Kommentartekst"/>
    <w:link w:val="KommentaremneTegn"/>
    <w:uiPriority w:val="99"/>
    <w:semiHidden/>
    <w:unhideWhenUsed/>
    <w:rsid w:val="004935F1"/>
    <w:rPr>
      <w:b/>
      <w:bCs/>
    </w:rPr>
  </w:style>
  <w:style w:type="character" w:customStyle="1" w:styleId="KommentaremneTegn">
    <w:name w:val="Kommentaremne Tegn"/>
    <w:basedOn w:val="KommentartekstTegn"/>
    <w:link w:val="Kommentaremne"/>
    <w:uiPriority w:val="99"/>
    <w:semiHidden/>
    <w:rsid w:val="004935F1"/>
    <w:rPr>
      <w:b/>
      <w:bCs/>
      <w:sz w:val="20"/>
      <w:szCs w:val="20"/>
      <w:lang w:val="da-DK"/>
    </w:rPr>
  </w:style>
  <w:style w:type="character" w:styleId="Kommentarhenvisning">
    <w:name w:val="annotation reference"/>
    <w:basedOn w:val="Standardskrifttypeiafsnit"/>
    <w:uiPriority w:val="99"/>
    <w:semiHidden/>
    <w:unhideWhenUsed/>
    <w:rsid w:val="004935F1"/>
    <w:rPr>
      <w:sz w:val="16"/>
      <w:szCs w:val="16"/>
      <w:lang w:val="da-DK"/>
    </w:rPr>
  </w:style>
  <w:style w:type="character" w:styleId="Linjenummer">
    <w:name w:val="line number"/>
    <w:basedOn w:val="Standardskrifttypeiafsnit"/>
    <w:uiPriority w:val="99"/>
    <w:semiHidden/>
    <w:unhideWhenUsed/>
    <w:rsid w:val="004935F1"/>
    <w:rPr>
      <w:lang w:val="da-DK"/>
    </w:rPr>
  </w:style>
  <w:style w:type="paragraph" w:styleId="Liste">
    <w:name w:val="List"/>
    <w:basedOn w:val="Normal"/>
    <w:uiPriority w:val="99"/>
    <w:semiHidden/>
    <w:unhideWhenUsed/>
    <w:rsid w:val="004935F1"/>
    <w:pPr>
      <w:ind w:left="283" w:hanging="283"/>
      <w:contextualSpacing/>
    </w:pPr>
  </w:style>
  <w:style w:type="paragraph" w:styleId="Liste2">
    <w:name w:val="List 2"/>
    <w:basedOn w:val="Normal"/>
    <w:uiPriority w:val="99"/>
    <w:semiHidden/>
    <w:unhideWhenUsed/>
    <w:rsid w:val="004935F1"/>
    <w:pPr>
      <w:ind w:left="566" w:hanging="283"/>
      <w:contextualSpacing/>
    </w:pPr>
  </w:style>
  <w:style w:type="paragraph" w:styleId="Liste3">
    <w:name w:val="List 3"/>
    <w:basedOn w:val="Normal"/>
    <w:uiPriority w:val="99"/>
    <w:semiHidden/>
    <w:unhideWhenUsed/>
    <w:rsid w:val="004935F1"/>
    <w:pPr>
      <w:ind w:left="849" w:hanging="283"/>
      <w:contextualSpacing/>
    </w:pPr>
  </w:style>
  <w:style w:type="paragraph" w:styleId="Liste4">
    <w:name w:val="List 4"/>
    <w:basedOn w:val="Normal"/>
    <w:uiPriority w:val="99"/>
    <w:semiHidden/>
    <w:rsid w:val="004935F1"/>
    <w:pPr>
      <w:ind w:left="1132" w:hanging="283"/>
      <w:contextualSpacing/>
    </w:pPr>
  </w:style>
  <w:style w:type="paragraph" w:styleId="Liste5">
    <w:name w:val="List 5"/>
    <w:basedOn w:val="Normal"/>
    <w:uiPriority w:val="99"/>
    <w:semiHidden/>
    <w:rsid w:val="004935F1"/>
    <w:pPr>
      <w:ind w:left="1415" w:hanging="283"/>
      <w:contextualSpacing/>
    </w:pPr>
  </w:style>
  <w:style w:type="paragraph" w:styleId="Listeafsnit">
    <w:name w:val="List Paragraph"/>
    <w:basedOn w:val="Normal"/>
    <w:uiPriority w:val="34"/>
    <w:qFormat/>
    <w:rsid w:val="004935F1"/>
    <w:pPr>
      <w:ind w:left="720"/>
      <w:contextualSpacing/>
    </w:pPr>
  </w:style>
  <w:style w:type="table" w:styleId="Listetabel1-lys">
    <w:name w:val="List Table 1 Light"/>
    <w:basedOn w:val="Tabel-Normal"/>
    <w:uiPriority w:val="46"/>
    <w:rsid w:val="004935F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935F1"/>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4935F1"/>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4935F1"/>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4935F1"/>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4935F1"/>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4935F1"/>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4935F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935F1"/>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4935F1"/>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4935F1"/>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4935F1"/>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4935F1"/>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4935F1"/>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4935F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935F1"/>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4935F1"/>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4935F1"/>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4935F1"/>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4935F1"/>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4935F1"/>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4935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935F1"/>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4935F1"/>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4935F1"/>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4935F1"/>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4935F1"/>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4935F1"/>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4935F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935F1"/>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935F1"/>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935F1"/>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935F1"/>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935F1"/>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935F1"/>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935F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935F1"/>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4935F1"/>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4935F1"/>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4935F1"/>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4935F1"/>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4935F1"/>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4935F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935F1"/>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935F1"/>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935F1"/>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935F1"/>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935F1"/>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935F1"/>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4935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935F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4935F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4935F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4935F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4935F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4935F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4935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935F1"/>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4935F1"/>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4935F1"/>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4935F1"/>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4935F1"/>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4935F1"/>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tgitter">
    <w:name w:val="Light Grid"/>
    <w:basedOn w:val="Tabel-Normal"/>
    <w:uiPriority w:val="62"/>
    <w:semiHidden/>
    <w:unhideWhenUsed/>
    <w:rsid w:val="004935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935F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4935F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4935F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4935F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4935F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4935F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paragraph" w:styleId="Mailsignatur">
    <w:name w:val="E-mail Signature"/>
    <w:basedOn w:val="Normal"/>
    <w:link w:val="MailsignaturTegn"/>
    <w:uiPriority w:val="99"/>
    <w:semiHidden/>
    <w:unhideWhenUsed/>
    <w:rsid w:val="004935F1"/>
  </w:style>
  <w:style w:type="character" w:customStyle="1" w:styleId="MailsignaturTegn">
    <w:name w:val="Mailsignatur Tegn"/>
    <w:basedOn w:val="Standardskrifttypeiafsnit"/>
    <w:link w:val="Mailsignatur"/>
    <w:uiPriority w:val="99"/>
    <w:semiHidden/>
    <w:rsid w:val="004935F1"/>
    <w:rPr>
      <w:lang w:val="da-DK"/>
    </w:rPr>
  </w:style>
  <w:style w:type="paragraph" w:styleId="Makrotekst">
    <w:name w:val="macro"/>
    <w:link w:val="MakrotekstTegn"/>
    <w:uiPriority w:val="99"/>
    <w:semiHidden/>
    <w:unhideWhenUsed/>
    <w:rsid w:val="004935F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rPr>
  </w:style>
  <w:style w:type="character" w:customStyle="1" w:styleId="MakrotekstTegn">
    <w:name w:val="Makrotekst Tegn"/>
    <w:basedOn w:val="Standardskrifttypeiafsnit"/>
    <w:link w:val="Makrotekst"/>
    <w:uiPriority w:val="99"/>
    <w:semiHidden/>
    <w:rsid w:val="004935F1"/>
    <w:rPr>
      <w:rFonts w:ascii="Consolas" w:hAnsi="Consolas"/>
      <w:sz w:val="20"/>
      <w:szCs w:val="20"/>
      <w:lang w:val="da-DK"/>
    </w:rPr>
  </w:style>
  <w:style w:type="table" w:styleId="Mediumgitter1">
    <w:name w:val="Medium Grid 1"/>
    <w:basedOn w:val="Tabel-Normal"/>
    <w:uiPriority w:val="67"/>
    <w:semiHidden/>
    <w:unhideWhenUsed/>
    <w:rsid w:val="004935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935F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4935F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4935F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4935F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4935F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4935F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935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935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4935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4935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4935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4935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4935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4935F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935F1"/>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4935F1"/>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4935F1"/>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4935F1"/>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4935F1"/>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4935F1"/>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935F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935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935F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935F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935F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935F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935F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935F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935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935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935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935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935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935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935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4935F1"/>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4935F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935F1"/>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4935F1"/>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4935F1"/>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4935F1"/>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4935F1"/>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4935F1"/>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4935F1"/>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4935F1"/>
  </w:style>
  <w:style w:type="character" w:customStyle="1" w:styleId="NoteoverskriftTegn">
    <w:name w:val="Noteoverskrift Tegn"/>
    <w:basedOn w:val="Standardskrifttypeiafsnit"/>
    <w:link w:val="Noteoverskrift"/>
    <w:uiPriority w:val="99"/>
    <w:semiHidden/>
    <w:rsid w:val="004935F1"/>
    <w:rPr>
      <w:lang w:val="da-DK"/>
    </w:rPr>
  </w:style>
  <w:style w:type="paragraph" w:styleId="Opstilling-forts">
    <w:name w:val="List Continue"/>
    <w:basedOn w:val="Normal"/>
    <w:uiPriority w:val="99"/>
    <w:semiHidden/>
    <w:unhideWhenUsed/>
    <w:rsid w:val="004935F1"/>
    <w:pPr>
      <w:spacing w:after="120"/>
      <w:ind w:left="283"/>
      <w:contextualSpacing/>
    </w:pPr>
  </w:style>
  <w:style w:type="paragraph" w:styleId="Opstilling-forts2">
    <w:name w:val="List Continue 2"/>
    <w:basedOn w:val="Normal"/>
    <w:uiPriority w:val="99"/>
    <w:semiHidden/>
    <w:unhideWhenUsed/>
    <w:rsid w:val="004935F1"/>
    <w:pPr>
      <w:spacing w:after="120"/>
      <w:ind w:left="566"/>
      <w:contextualSpacing/>
    </w:pPr>
  </w:style>
  <w:style w:type="paragraph" w:styleId="Opstilling-forts3">
    <w:name w:val="List Continue 3"/>
    <w:basedOn w:val="Normal"/>
    <w:uiPriority w:val="99"/>
    <w:semiHidden/>
    <w:unhideWhenUsed/>
    <w:rsid w:val="004935F1"/>
    <w:pPr>
      <w:spacing w:after="120"/>
      <w:ind w:left="849"/>
      <w:contextualSpacing/>
    </w:pPr>
  </w:style>
  <w:style w:type="paragraph" w:styleId="Opstilling-forts4">
    <w:name w:val="List Continue 4"/>
    <w:basedOn w:val="Normal"/>
    <w:uiPriority w:val="99"/>
    <w:semiHidden/>
    <w:unhideWhenUsed/>
    <w:rsid w:val="004935F1"/>
    <w:pPr>
      <w:spacing w:after="120"/>
      <w:ind w:left="1132"/>
      <w:contextualSpacing/>
    </w:pPr>
  </w:style>
  <w:style w:type="paragraph" w:styleId="Opstilling-forts5">
    <w:name w:val="List Continue 5"/>
    <w:basedOn w:val="Normal"/>
    <w:uiPriority w:val="99"/>
    <w:semiHidden/>
    <w:unhideWhenUsed/>
    <w:rsid w:val="004935F1"/>
    <w:pPr>
      <w:spacing w:after="120"/>
      <w:ind w:left="1415"/>
      <w:contextualSpacing/>
    </w:pPr>
  </w:style>
  <w:style w:type="paragraph" w:styleId="Opstilling-punkttegn2">
    <w:name w:val="List Bullet 2"/>
    <w:basedOn w:val="Normal"/>
    <w:uiPriority w:val="99"/>
    <w:semiHidden/>
    <w:unhideWhenUsed/>
    <w:rsid w:val="004935F1"/>
    <w:pPr>
      <w:numPr>
        <w:numId w:val="2"/>
      </w:numPr>
      <w:contextualSpacing/>
    </w:pPr>
  </w:style>
  <w:style w:type="paragraph" w:styleId="Opstilling-punkttegn3">
    <w:name w:val="List Bullet 3"/>
    <w:basedOn w:val="Normal"/>
    <w:uiPriority w:val="99"/>
    <w:semiHidden/>
    <w:unhideWhenUsed/>
    <w:rsid w:val="004935F1"/>
    <w:pPr>
      <w:numPr>
        <w:numId w:val="3"/>
      </w:numPr>
      <w:contextualSpacing/>
    </w:pPr>
  </w:style>
  <w:style w:type="paragraph" w:styleId="Opstilling-punkttegn4">
    <w:name w:val="List Bullet 4"/>
    <w:basedOn w:val="Normal"/>
    <w:uiPriority w:val="99"/>
    <w:semiHidden/>
    <w:unhideWhenUsed/>
    <w:rsid w:val="004935F1"/>
    <w:pPr>
      <w:numPr>
        <w:numId w:val="4"/>
      </w:numPr>
      <w:contextualSpacing/>
    </w:pPr>
  </w:style>
  <w:style w:type="paragraph" w:styleId="Opstilling-punkttegn5">
    <w:name w:val="List Bullet 5"/>
    <w:basedOn w:val="Normal"/>
    <w:uiPriority w:val="99"/>
    <w:semiHidden/>
    <w:unhideWhenUsed/>
    <w:rsid w:val="004935F1"/>
    <w:pPr>
      <w:numPr>
        <w:numId w:val="5"/>
      </w:numPr>
      <w:contextualSpacing/>
    </w:pPr>
  </w:style>
  <w:style w:type="paragraph" w:styleId="Opstilling-talellerbogst2">
    <w:name w:val="List Number 2"/>
    <w:basedOn w:val="Normal"/>
    <w:uiPriority w:val="99"/>
    <w:semiHidden/>
    <w:unhideWhenUsed/>
    <w:rsid w:val="004935F1"/>
    <w:pPr>
      <w:numPr>
        <w:numId w:val="6"/>
      </w:numPr>
      <w:contextualSpacing/>
    </w:pPr>
  </w:style>
  <w:style w:type="paragraph" w:styleId="Opstilling-talellerbogst3">
    <w:name w:val="List Number 3"/>
    <w:basedOn w:val="Normal"/>
    <w:uiPriority w:val="99"/>
    <w:semiHidden/>
    <w:unhideWhenUsed/>
    <w:rsid w:val="004935F1"/>
    <w:pPr>
      <w:numPr>
        <w:numId w:val="7"/>
      </w:numPr>
      <w:contextualSpacing/>
    </w:pPr>
  </w:style>
  <w:style w:type="paragraph" w:styleId="Opstilling-talellerbogst4">
    <w:name w:val="List Number 4"/>
    <w:basedOn w:val="Normal"/>
    <w:uiPriority w:val="99"/>
    <w:semiHidden/>
    <w:unhideWhenUsed/>
    <w:rsid w:val="004935F1"/>
    <w:pPr>
      <w:numPr>
        <w:numId w:val="8"/>
      </w:numPr>
      <w:contextualSpacing/>
    </w:pPr>
  </w:style>
  <w:style w:type="paragraph" w:styleId="Opstilling-talellerbogst5">
    <w:name w:val="List Number 5"/>
    <w:basedOn w:val="Normal"/>
    <w:uiPriority w:val="99"/>
    <w:semiHidden/>
    <w:unhideWhenUsed/>
    <w:rsid w:val="004935F1"/>
    <w:pPr>
      <w:numPr>
        <w:numId w:val="9"/>
      </w:numPr>
      <w:contextualSpacing/>
    </w:pPr>
  </w:style>
  <w:style w:type="paragraph" w:styleId="Sluthilsen">
    <w:name w:val="Closing"/>
    <w:basedOn w:val="Normal"/>
    <w:link w:val="SluthilsenTegn"/>
    <w:uiPriority w:val="99"/>
    <w:semiHidden/>
    <w:unhideWhenUsed/>
    <w:rsid w:val="004935F1"/>
    <w:pPr>
      <w:ind w:left="4252"/>
    </w:pPr>
  </w:style>
  <w:style w:type="character" w:customStyle="1" w:styleId="SluthilsenTegn">
    <w:name w:val="Sluthilsen Tegn"/>
    <w:basedOn w:val="Standardskrifttypeiafsnit"/>
    <w:link w:val="Sluthilsen"/>
    <w:uiPriority w:val="99"/>
    <w:semiHidden/>
    <w:rsid w:val="004935F1"/>
    <w:rPr>
      <w:lang w:val="da-DK"/>
    </w:rPr>
  </w:style>
  <w:style w:type="paragraph" w:styleId="Starthilsen">
    <w:name w:val="Salutation"/>
    <w:basedOn w:val="Normal"/>
    <w:next w:val="Normal"/>
    <w:link w:val="StarthilsenTegn"/>
    <w:uiPriority w:val="99"/>
    <w:semiHidden/>
    <w:rsid w:val="004935F1"/>
  </w:style>
  <w:style w:type="character" w:customStyle="1" w:styleId="StarthilsenTegn">
    <w:name w:val="Starthilsen Tegn"/>
    <w:basedOn w:val="Standardskrifttypeiafsnit"/>
    <w:link w:val="Starthilsen"/>
    <w:uiPriority w:val="99"/>
    <w:semiHidden/>
    <w:rsid w:val="004935F1"/>
    <w:rPr>
      <w:lang w:val="da-DK"/>
    </w:rPr>
  </w:style>
  <w:style w:type="table" w:styleId="Tabel-3D-effekter1">
    <w:name w:val="Table 3D effects 1"/>
    <w:basedOn w:val="Tabel-Normal"/>
    <w:uiPriority w:val="99"/>
    <w:semiHidden/>
    <w:unhideWhenUsed/>
    <w:rsid w:val="004935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935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935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935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935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935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935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935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935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935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49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935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935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935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935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935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935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935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935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935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935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935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935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935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4935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935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935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935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935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935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935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935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935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9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935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935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935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935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935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49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935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935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935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935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7345A"/>
    <w:pPr>
      <w:autoSpaceDE w:val="0"/>
      <w:autoSpaceDN w:val="0"/>
      <w:adjustRightInd w:val="0"/>
    </w:pPr>
    <w:rPr>
      <w:rFonts w:ascii="Arial" w:hAnsi="Arial" w:cs="Arial"/>
      <w:color w:val="000000"/>
    </w:rPr>
  </w:style>
  <w:style w:type="paragraph" w:customStyle="1" w:styleId="titel2">
    <w:name w:val="titel2"/>
    <w:basedOn w:val="Normal"/>
    <w:rsid w:val="00C37E29"/>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undertitel2">
    <w:name w:val="undertitel2"/>
    <w:basedOn w:val="Normal"/>
    <w:rsid w:val="00C37E29"/>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paragraf">
    <w:name w:val="paragraf"/>
    <w:basedOn w:val="Normal"/>
    <w:rsid w:val="00D0789B"/>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D0789B"/>
  </w:style>
  <w:style w:type="paragraph" w:customStyle="1" w:styleId="stk2">
    <w:name w:val="stk2"/>
    <w:basedOn w:val="Normal"/>
    <w:rsid w:val="00D0789B"/>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D0789B"/>
  </w:style>
  <w:style w:type="paragraph" w:customStyle="1" w:styleId="bilagtekstliste">
    <w:name w:val="bilagtekstliste"/>
    <w:basedOn w:val="Normal"/>
    <w:rsid w:val="00E9606A"/>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liste1">
    <w:name w:val="liste1"/>
    <w:basedOn w:val="Normal"/>
    <w:rsid w:val="00E9606A"/>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9606A"/>
  </w:style>
  <w:style w:type="character" w:customStyle="1" w:styleId="italic">
    <w:name w:val="italic"/>
    <w:basedOn w:val="Standardskrifttypeiafsnit"/>
    <w:rsid w:val="00D3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106776844">
      <w:bodyDiv w:val="1"/>
      <w:marLeft w:val="0"/>
      <w:marRight w:val="0"/>
      <w:marTop w:val="0"/>
      <w:marBottom w:val="0"/>
      <w:divBdr>
        <w:top w:val="none" w:sz="0" w:space="0" w:color="auto"/>
        <w:left w:val="none" w:sz="0" w:space="0" w:color="auto"/>
        <w:bottom w:val="none" w:sz="0" w:space="0" w:color="auto"/>
        <w:right w:val="none" w:sz="0" w:space="0" w:color="auto"/>
      </w:divBdr>
    </w:div>
    <w:div w:id="170921106">
      <w:bodyDiv w:val="1"/>
      <w:marLeft w:val="0"/>
      <w:marRight w:val="0"/>
      <w:marTop w:val="0"/>
      <w:marBottom w:val="0"/>
      <w:divBdr>
        <w:top w:val="none" w:sz="0" w:space="0" w:color="auto"/>
        <w:left w:val="none" w:sz="0" w:space="0" w:color="auto"/>
        <w:bottom w:val="none" w:sz="0" w:space="0" w:color="auto"/>
        <w:right w:val="none" w:sz="0" w:space="0" w:color="auto"/>
      </w:divBdr>
    </w:div>
    <w:div w:id="208079913">
      <w:bodyDiv w:val="1"/>
      <w:marLeft w:val="0"/>
      <w:marRight w:val="0"/>
      <w:marTop w:val="0"/>
      <w:marBottom w:val="0"/>
      <w:divBdr>
        <w:top w:val="none" w:sz="0" w:space="0" w:color="auto"/>
        <w:left w:val="none" w:sz="0" w:space="0" w:color="auto"/>
        <w:bottom w:val="none" w:sz="0" w:space="0" w:color="auto"/>
        <w:right w:val="none" w:sz="0" w:space="0" w:color="auto"/>
      </w:divBdr>
    </w:div>
    <w:div w:id="214584924">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369426712">
      <w:bodyDiv w:val="1"/>
      <w:marLeft w:val="0"/>
      <w:marRight w:val="0"/>
      <w:marTop w:val="0"/>
      <w:marBottom w:val="0"/>
      <w:divBdr>
        <w:top w:val="none" w:sz="0" w:space="0" w:color="auto"/>
        <w:left w:val="none" w:sz="0" w:space="0" w:color="auto"/>
        <w:bottom w:val="none" w:sz="0" w:space="0" w:color="auto"/>
        <w:right w:val="none" w:sz="0" w:space="0" w:color="auto"/>
      </w:divBdr>
    </w:div>
    <w:div w:id="422723683">
      <w:bodyDiv w:val="1"/>
      <w:marLeft w:val="0"/>
      <w:marRight w:val="0"/>
      <w:marTop w:val="0"/>
      <w:marBottom w:val="0"/>
      <w:divBdr>
        <w:top w:val="none" w:sz="0" w:space="0" w:color="auto"/>
        <w:left w:val="none" w:sz="0" w:space="0" w:color="auto"/>
        <w:bottom w:val="none" w:sz="0" w:space="0" w:color="auto"/>
        <w:right w:val="none" w:sz="0" w:space="0" w:color="auto"/>
      </w:divBdr>
    </w:div>
    <w:div w:id="431437559">
      <w:bodyDiv w:val="1"/>
      <w:marLeft w:val="0"/>
      <w:marRight w:val="0"/>
      <w:marTop w:val="0"/>
      <w:marBottom w:val="0"/>
      <w:divBdr>
        <w:top w:val="none" w:sz="0" w:space="0" w:color="auto"/>
        <w:left w:val="none" w:sz="0" w:space="0" w:color="auto"/>
        <w:bottom w:val="none" w:sz="0" w:space="0" w:color="auto"/>
        <w:right w:val="none" w:sz="0" w:space="0" w:color="auto"/>
      </w:divBdr>
    </w:div>
    <w:div w:id="514031609">
      <w:bodyDiv w:val="1"/>
      <w:marLeft w:val="0"/>
      <w:marRight w:val="0"/>
      <w:marTop w:val="0"/>
      <w:marBottom w:val="0"/>
      <w:divBdr>
        <w:top w:val="none" w:sz="0" w:space="0" w:color="auto"/>
        <w:left w:val="none" w:sz="0" w:space="0" w:color="auto"/>
        <w:bottom w:val="none" w:sz="0" w:space="0" w:color="auto"/>
        <w:right w:val="none" w:sz="0" w:space="0" w:color="auto"/>
      </w:divBdr>
    </w:div>
    <w:div w:id="515923790">
      <w:bodyDiv w:val="1"/>
      <w:marLeft w:val="0"/>
      <w:marRight w:val="0"/>
      <w:marTop w:val="0"/>
      <w:marBottom w:val="0"/>
      <w:divBdr>
        <w:top w:val="none" w:sz="0" w:space="0" w:color="auto"/>
        <w:left w:val="none" w:sz="0" w:space="0" w:color="auto"/>
        <w:bottom w:val="none" w:sz="0" w:space="0" w:color="auto"/>
        <w:right w:val="none" w:sz="0" w:space="0" w:color="auto"/>
      </w:divBdr>
    </w:div>
    <w:div w:id="566571641">
      <w:bodyDiv w:val="1"/>
      <w:marLeft w:val="0"/>
      <w:marRight w:val="0"/>
      <w:marTop w:val="0"/>
      <w:marBottom w:val="0"/>
      <w:divBdr>
        <w:top w:val="none" w:sz="0" w:space="0" w:color="auto"/>
        <w:left w:val="none" w:sz="0" w:space="0" w:color="auto"/>
        <w:bottom w:val="none" w:sz="0" w:space="0" w:color="auto"/>
        <w:right w:val="none" w:sz="0" w:space="0" w:color="auto"/>
      </w:divBdr>
    </w:div>
    <w:div w:id="697269888">
      <w:bodyDiv w:val="1"/>
      <w:marLeft w:val="0"/>
      <w:marRight w:val="0"/>
      <w:marTop w:val="0"/>
      <w:marBottom w:val="0"/>
      <w:divBdr>
        <w:top w:val="none" w:sz="0" w:space="0" w:color="auto"/>
        <w:left w:val="none" w:sz="0" w:space="0" w:color="auto"/>
        <w:bottom w:val="none" w:sz="0" w:space="0" w:color="auto"/>
        <w:right w:val="none" w:sz="0" w:space="0" w:color="auto"/>
      </w:divBdr>
    </w:div>
    <w:div w:id="794447804">
      <w:bodyDiv w:val="1"/>
      <w:marLeft w:val="0"/>
      <w:marRight w:val="0"/>
      <w:marTop w:val="0"/>
      <w:marBottom w:val="0"/>
      <w:divBdr>
        <w:top w:val="none" w:sz="0" w:space="0" w:color="auto"/>
        <w:left w:val="none" w:sz="0" w:space="0" w:color="auto"/>
        <w:bottom w:val="none" w:sz="0" w:space="0" w:color="auto"/>
        <w:right w:val="none" w:sz="0" w:space="0" w:color="auto"/>
      </w:divBdr>
    </w:div>
    <w:div w:id="1140079298">
      <w:bodyDiv w:val="1"/>
      <w:marLeft w:val="0"/>
      <w:marRight w:val="0"/>
      <w:marTop w:val="0"/>
      <w:marBottom w:val="0"/>
      <w:divBdr>
        <w:top w:val="none" w:sz="0" w:space="0" w:color="auto"/>
        <w:left w:val="none" w:sz="0" w:space="0" w:color="auto"/>
        <w:bottom w:val="none" w:sz="0" w:space="0" w:color="auto"/>
        <w:right w:val="none" w:sz="0" w:space="0" w:color="auto"/>
      </w:divBdr>
    </w:div>
    <w:div w:id="1174300685">
      <w:bodyDiv w:val="1"/>
      <w:marLeft w:val="0"/>
      <w:marRight w:val="0"/>
      <w:marTop w:val="0"/>
      <w:marBottom w:val="0"/>
      <w:divBdr>
        <w:top w:val="none" w:sz="0" w:space="0" w:color="auto"/>
        <w:left w:val="none" w:sz="0" w:space="0" w:color="auto"/>
        <w:bottom w:val="none" w:sz="0" w:space="0" w:color="auto"/>
        <w:right w:val="none" w:sz="0" w:space="0" w:color="auto"/>
      </w:divBdr>
    </w:div>
    <w:div w:id="1252467048">
      <w:bodyDiv w:val="1"/>
      <w:marLeft w:val="0"/>
      <w:marRight w:val="0"/>
      <w:marTop w:val="0"/>
      <w:marBottom w:val="0"/>
      <w:divBdr>
        <w:top w:val="none" w:sz="0" w:space="0" w:color="auto"/>
        <w:left w:val="none" w:sz="0" w:space="0" w:color="auto"/>
        <w:bottom w:val="none" w:sz="0" w:space="0" w:color="auto"/>
        <w:right w:val="none" w:sz="0" w:space="0" w:color="auto"/>
      </w:divBdr>
    </w:div>
    <w:div w:id="1306274572">
      <w:bodyDiv w:val="1"/>
      <w:marLeft w:val="0"/>
      <w:marRight w:val="0"/>
      <w:marTop w:val="0"/>
      <w:marBottom w:val="0"/>
      <w:divBdr>
        <w:top w:val="none" w:sz="0" w:space="0" w:color="auto"/>
        <w:left w:val="none" w:sz="0" w:space="0" w:color="auto"/>
        <w:bottom w:val="none" w:sz="0" w:space="0" w:color="auto"/>
        <w:right w:val="none" w:sz="0" w:space="0" w:color="auto"/>
      </w:divBdr>
    </w:div>
    <w:div w:id="1307585572">
      <w:bodyDiv w:val="1"/>
      <w:marLeft w:val="0"/>
      <w:marRight w:val="0"/>
      <w:marTop w:val="0"/>
      <w:marBottom w:val="0"/>
      <w:divBdr>
        <w:top w:val="none" w:sz="0" w:space="0" w:color="auto"/>
        <w:left w:val="none" w:sz="0" w:space="0" w:color="auto"/>
        <w:bottom w:val="none" w:sz="0" w:space="0" w:color="auto"/>
        <w:right w:val="none" w:sz="0" w:space="0" w:color="auto"/>
      </w:divBdr>
    </w:div>
    <w:div w:id="1326668510">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 w:id="1810395930">
      <w:bodyDiv w:val="1"/>
      <w:marLeft w:val="0"/>
      <w:marRight w:val="0"/>
      <w:marTop w:val="0"/>
      <w:marBottom w:val="0"/>
      <w:divBdr>
        <w:top w:val="none" w:sz="0" w:space="0" w:color="auto"/>
        <w:left w:val="none" w:sz="0" w:space="0" w:color="auto"/>
        <w:bottom w:val="none" w:sz="0" w:space="0" w:color="auto"/>
        <w:right w:val="none" w:sz="0" w:space="0" w:color="auto"/>
      </w:divBdr>
    </w:div>
    <w:div w:id="1828787596">
      <w:bodyDiv w:val="1"/>
      <w:marLeft w:val="0"/>
      <w:marRight w:val="0"/>
      <w:marTop w:val="0"/>
      <w:marBottom w:val="0"/>
      <w:divBdr>
        <w:top w:val="none" w:sz="0" w:space="0" w:color="auto"/>
        <w:left w:val="none" w:sz="0" w:space="0" w:color="auto"/>
        <w:bottom w:val="none" w:sz="0" w:space="0" w:color="auto"/>
        <w:right w:val="none" w:sz="0" w:space="0" w:color="auto"/>
      </w:divBdr>
      <w:divsChild>
        <w:div w:id="1174995513">
          <w:marLeft w:val="0"/>
          <w:marRight w:val="0"/>
          <w:marTop w:val="0"/>
          <w:marBottom w:val="0"/>
          <w:divBdr>
            <w:top w:val="none" w:sz="0" w:space="0" w:color="auto"/>
            <w:left w:val="none" w:sz="0" w:space="0" w:color="auto"/>
            <w:bottom w:val="none" w:sz="0" w:space="0" w:color="auto"/>
            <w:right w:val="none" w:sz="0" w:space="0" w:color="auto"/>
          </w:divBdr>
        </w:div>
        <w:div w:id="1215701050">
          <w:marLeft w:val="0"/>
          <w:marRight w:val="0"/>
          <w:marTop w:val="0"/>
          <w:marBottom w:val="0"/>
          <w:divBdr>
            <w:top w:val="none" w:sz="0" w:space="0" w:color="auto"/>
            <w:left w:val="none" w:sz="0" w:space="0" w:color="auto"/>
            <w:bottom w:val="none" w:sz="0" w:space="0" w:color="auto"/>
            <w:right w:val="none" w:sz="0" w:space="0" w:color="auto"/>
          </w:divBdr>
        </w:div>
        <w:div w:id="1646929345">
          <w:marLeft w:val="0"/>
          <w:marRight w:val="0"/>
          <w:marTop w:val="0"/>
          <w:marBottom w:val="0"/>
          <w:divBdr>
            <w:top w:val="none" w:sz="0" w:space="0" w:color="auto"/>
            <w:left w:val="none" w:sz="0" w:space="0" w:color="auto"/>
            <w:bottom w:val="none" w:sz="0" w:space="0" w:color="auto"/>
            <w:right w:val="none" w:sz="0" w:space="0" w:color="auto"/>
          </w:divBdr>
        </w:div>
        <w:div w:id="23136328">
          <w:marLeft w:val="0"/>
          <w:marRight w:val="0"/>
          <w:marTop w:val="0"/>
          <w:marBottom w:val="0"/>
          <w:divBdr>
            <w:top w:val="none" w:sz="0" w:space="0" w:color="auto"/>
            <w:left w:val="none" w:sz="0" w:space="0" w:color="auto"/>
            <w:bottom w:val="none" w:sz="0" w:space="0" w:color="auto"/>
            <w:right w:val="none" w:sz="0" w:space="0" w:color="auto"/>
          </w:divBdr>
        </w:div>
        <w:div w:id="764613529">
          <w:marLeft w:val="0"/>
          <w:marRight w:val="0"/>
          <w:marTop w:val="0"/>
          <w:marBottom w:val="0"/>
          <w:divBdr>
            <w:top w:val="none" w:sz="0" w:space="0" w:color="auto"/>
            <w:left w:val="none" w:sz="0" w:space="0" w:color="auto"/>
            <w:bottom w:val="none" w:sz="0" w:space="0" w:color="auto"/>
            <w:right w:val="none" w:sz="0" w:space="0" w:color="auto"/>
          </w:divBdr>
        </w:div>
      </w:divsChild>
    </w:div>
    <w:div w:id="1920559753">
      <w:bodyDiv w:val="1"/>
      <w:marLeft w:val="0"/>
      <w:marRight w:val="0"/>
      <w:marTop w:val="0"/>
      <w:marBottom w:val="0"/>
      <w:divBdr>
        <w:top w:val="none" w:sz="0" w:space="0" w:color="auto"/>
        <w:left w:val="none" w:sz="0" w:space="0" w:color="auto"/>
        <w:bottom w:val="none" w:sz="0" w:space="0" w:color="auto"/>
        <w:right w:val="none" w:sz="0" w:space="0" w:color="auto"/>
      </w:divBdr>
      <w:divsChild>
        <w:div w:id="417795932">
          <w:marLeft w:val="0"/>
          <w:marRight w:val="0"/>
          <w:marTop w:val="0"/>
          <w:marBottom w:val="0"/>
          <w:divBdr>
            <w:top w:val="none" w:sz="0" w:space="0" w:color="auto"/>
            <w:left w:val="none" w:sz="0" w:space="0" w:color="auto"/>
            <w:bottom w:val="none" w:sz="0" w:space="0" w:color="auto"/>
            <w:right w:val="none" w:sz="0" w:space="0" w:color="auto"/>
          </w:divBdr>
        </w:div>
        <w:div w:id="1020661394">
          <w:marLeft w:val="0"/>
          <w:marRight w:val="0"/>
          <w:marTop w:val="0"/>
          <w:marBottom w:val="0"/>
          <w:divBdr>
            <w:top w:val="none" w:sz="0" w:space="0" w:color="auto"/>
            <w:left w:val="none" w:sz="0" w:space="0" w:color="auto"/>
            <w:bottom w:val="none" w:sz="0" w:space="0" w:color="auto"/>
            <w:right w:val="none" w:sz="0" w:space="0" w:color="auto"/>
          </w:divBdr>
        </w:div>
        <w:div w:id="187792234">
          <w:marLeft w:val="0"/>
          <w:marRight w:val="0"/>
          <w:marTop w:val="0"/>
          <w:marBottom w:val="0"/>
          <w:divBdr>
            <w:top w:val="none" w:sz="0" w:space="0" w:color="auto"/>
            <w:left w:val="none" w:sz="0" w:space="0" w:color="auto"/>
            <w:bottom w:val="none" w:sz="0" w:space="0" w:color="auto"/>
            <w:right w:val="none" w:sz="0" w:space="0" w:color="auto"/>
          </w:divBdr>
        </w:div>
        <w:div w:id="1175725120">
          <w:marLeft w:val="0"/>
          <w:marRight w:val="0"/>
          <w:marTop w:val="0"/>
          <w:marBottom w:val="0"/>
          <w:divBdr>
            <w:top w:val="none" w:sz="0" w:space="0" w:color="auto"/>
            <w:left w:val="none" w:sz="0" w:space="0" w:color="auto"/>
            <w:bottom w:val="none" w:sz="0" w:space="0" w:color="auto"/>
            <w:right w:val="none" w:sz="0" w:space="0" w:color="auto"/>
          </w:divBdr>
        </w:div>
        <w:div w:id="892618043">
          <w:marLeft w:val="0"/>
          <w:marRight w:val="0"/>
          <w:marTop w:val="0"/>
          <w:marBottom w:val="0"/>
          <w:divBdr>
            <w:top w:val="none" w:sz="0" w:space="0" w:color="auto"/>
            <w:left w:val="none" w:sz="0" w:space="0" w:color="auto"/>
            <w:bottom w:val="none" w:sz="0" w:space="0" w:color="auto"/>
            <w:right w:val="none" w:sz="0" w:space="0" w:color="auto"/>
          </w:divBdr>
        </w:div>
      </w:divsChild>
    </w:div>
    <w:div w:id="1990669854">
      <w:bodyDiv w:val="1"/>
      <w:marLeft w:val="0"/>
      <w:marRight w:val="0"/>
      <w:marTop w:val="0"/>
      <w:marBottom w:val="0"/>
      <w:divBdr>
        <w:top w:val="none" w:sz="0" w:space="0" w:color="auto"/>
        <w:left w:val="none" w:sz="0" w:space="0" w:color="auto"/>
        <w:bottom w:val="none" w:sz="0" w:space="0" w:color="auto"/>
        <w:right w:val="none" w:sz="0" w:space="0" w:color="auto"/>
      </w:divBdr>
    </w:div>
    <w:div w:id="2018582102">
      <w:bodyDiv w:val="1"/>
      <w:marLeft w:val="0"/>
      <w:marRight w:val="0"/>
      <w:marTop w:val="0"/>
      <w:marBottom w:val="0"/>
      <w:divBdr>
        <w:top w:val="none" w:sz="0" w:space="0" w:color="auto"/>
        <w:left w:val="none" w:sz="0" w:space="0" w:color="auto"/>
        <w:bottom w:val="none" w:sz="0" w:space="0" w:color="auto"/>
        <w:right w:val="none" w:sz="0" w:space="0" w:color="auto"/>
      </w:divBdr>
    </w:div>
    <w:div w:id="2030141375">
      <w:bodyDiv w:val="1"/>
      <w:marLeft w:val="0"/>
      <w:marRight w:val="0"/>
      <w:marTop w:val="0"/>
      <w:marBottom w:val="0"/>
      <w:divBdr>
        <w:top w:val="none" w:sz="0" w:space="0" w:color="auto"/>
        <w:left w:val="none" w:sz="0" w:space="0" w:color="auto"/>
        <w:bottom w:val="none" w:sz="0" w:space="0" w:color="auto"/>
        <w:right w:val="none" w:sz="0" w:space="0" w:color="auto"/>
      </w:divBdr>
    </w:div>
    <w:div w:id="21307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BAB21A0EC4D41A6B0A84820B93814"/>
        <w:category>
          <w:name w:val="General"/>
          <w:gallery w:val="placeholder"/>
        </w:category>
        <w:types>
          <w:type w:val="bbPlcHdr"/>
        </w:types>
        <w:behaviors>
          <w:behavior w:val="content"/>
        </w:behaviors>
        <w:guid w:val="{BA04C20B-80FF-404E-8616-3B6A81C53F3B}"/>
      </w:docPartPr>
      <w:docPartBody>
        <w:p w:rsidR="005F66A1" w:rsidRDefault="008F379C" w:rsidP="008F379C">
          <w:pPr>
            <w:pStyle w:val="CACBAB21A0EC4D41A6B0A84820B938141"/>
          </w:pPr>
          <w:r w:rsidRPr="00D77C8B">
            <w:rPr>
              <w:rStyle w:val="Pladsholderteks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01"/>
    <w:rsid w:val="0001520F"/>
    <w:rsid w:val="00026866"/>
    <w:rsid w:val="00051A9B"/>
    <w:rsid w:val="000A765D"/>
    <w:rsid w:val="000E59B1"/>
    <w:rsid w:val="000F29B3"/>
    <w:rsid w:val="0013184F"/>
    <w:rsid w:val="001957E1"/>
    <w:rsid w:val="001B25EB"/>
    <w:rsid w:val="001E2B3F"/>
    <w:rsid w:val="001F40AE"/>
    <w:rsid w:val="002D5431"/>
    <w:rsid w:val="00352A9E"/>
    <w:rsid w:val="00447EA7"/>
    <w:rsid w:val="004979C0"/>
    <w:rsid w:val="004C6CBA"/>
    <w:rsid w:val="00595679"/>
    <w:rsid w:val="005F66A1"/>
    <w:rsid w:val="0068279E"/>
    <w:rsid w:val="006F7601"/>
    <w:rsid w:val="007D2919"/>
    <w:rsid w:val="007E5FDC"/>
    <w:rsid w:val="00825B41"/>
    <w:rsid w:val="00833807"/>
    <w:rsid w:val="008D6960"/>
    <w:rsid w:val="008E16C2"/>
    <w:rsid w:val="008E406F"/>
    <w:rsid w:val="008F379C"/>
    <w:rsid w:val="00933754"/>
    <w:rsid w:val="00AF7AAF"/>
    <w:rsid w:val="00B17043"/>
    <w:rsid w:val="00BB1EED"/>
    <w:rsid w:val="00C30937"/>
    <w:rsid w:val="00C36745"/>
    <w:rsid w:val="00C63538"/>
    <w:rsid w:val="00CB6E84"/>
    <w:rsid w:val="00DD13CC"/>
    <w:rsid w:val="00DD5F14"/>
    <w:rsid w:val="00DF4ADE"/>
    <w:rsid w:val="00E230E6"/>
    <w:rsid w:val="00E67303"/>
    <w:rsid w:val="00EB2F27"/>
    <w:rsid w:val="00ED14D9"/>
    <w:rsid w:val="00EE363A"/>
    <w:rsid w:val="00F921ED"/>
    <w:rsid w:val="00FF3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F379C"/>
    <w:rPr>
      <w:color w:val="auto"/>
    </w:rPr>
  </w:style>
  <w:style w:type="paragraph" w:customStyle="1" w:styleId="CACBAB21A0EC4D41A6B0A84820B93814">
    <w:name w:val="CACBAB21A0EC4D41A6B0A84820B93814"/>
    <w:rsid w:val="00C63538"/>
    <w:rPr>
      <w:lang w:val="en-GB" w:eastAsia="en-GB"/>
    </w:rPr>
  </w:style>
  <w:style w:type="paragraph" w:customStyle="1" w:styleId="DefaultPlaceholder1082065158">
    <w:name w:val="DefaultPlaceholder_1082065158"/>
    <w:rsid w:val="008F379C"/>
    <w:pPr>
      <w:spacing w:after="300" w:line="300" w:lineRule="exact"/>
      <w:contextualSpacing/>
    </w:pPr>
    <w:rPr>
      <w:rFonts w:ascii="Garamond" w:eastAsiaTheme="minorHAnsi" w:hAnsi="Garamond"/>
      <w:b/>
      <w:sz w:val="24"/>
      <w:szCs w:val="24"/>
      <w:lang w:eastAsia="en-US"/>
    </w:rPr>
  </w:style>
  <w:style w:type="paragraph" w:customStyle="1" w:styleId="CACBAB21A0EC4D41A6B0A84820B938141">
    <w:name w:val="CACBAB21A0EC4D41A6B0A84820B938141"/>
    <w:rsid w:val="008F379C"/>
    <w:pPr>
      <w:spacing w:after="0" w:line="260" w:lineRule="atLeast"/>
    </w:pPr>
    <w:rPr>
      <w:rFonts w:ascii="Garamond" w:eastAsiaTheme="minorHAnsi" w:hAnsi="Garamond"/>
      <w:noProof/>
      <w:sz w:val="20"/>
      <w:szCs w:val="24"/>
      <w:lang w:eastAsia="en-US"/>
    </w:rPr>
  </w:style>
  <w:style w:type="paragraph" w:customStyle="1" w:styleId="F73AC531B3E248F1B8F64AC4ADA6E3A6">
    <w:name w:val="F73AC531B3E248F1B8F64AC4ADA6E3A6"/>
    <w:rsid w:val="008D6960"/>
    <w:pPr>
      <w:spacing w:after="160" w:line="259" w:lineRule="auto"/>
    </w:pPr>
  </w:style>
  <w:style w:type="paragraph" w:customStyle="1" w:styleId="B382BFA67A5F449D903F617C9D7EB159">
    <w:name w:val="B382BFA67A5F449D903F617C9D7EB159"/>
    <w:rsid w:val="008D6960"/>
    <w:pPr>
      <w:spacing w:after="160" w:line="259" w:lineRule="auto"/>
    </w:pPr>
  </w:style>
  <w:style w:type="paragraph" w:customStyle="1" w:styleId="912BBD371F59488A90FF58A44702A4C4">
    <w:name w:val="912BBD371F59488A90FF58A44702A4C4"/>
    <w:rsid w:val="008D69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1341896625" gbs:removeContentControl="0">20/16461</gbs:ToCase.Name>
  <gbs:Title gbs:loadFromGrowBusiness="OnEdit" gbs:saveInGrowBusiness="False" gbs:connected="true" gbs:recno="" gbs:entity="" gbs:datatype="string" gbs:key="1245689355" gbs:removeContentControl="0"/>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2153-FE88-49AA-82C3-D8F1A63775FB}">
  <ds:schemaRefs>
    <ds:schemaRef ds:uri="http://www.software-innovation.no/growBusinessDocument"/>
  </ds:schemaRefs>
</ds:datastoreItem>
</file>

<file path=customXml/itemProps2.xml><?xml version="1.0" encoding="utf-8"?>
<ds:datastoreItem xmlns:ds="http://schemas.openxmlformats.org/officeDocument/2006/customXml" ds:itemID="{C9A4FCA9-528C-4BDA-A696-CC95B140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13016</Words>
  <Characters>79138</Characters>
  <Application>Microsoft Office Word</Application>
  <DocSecurity>0</DocSecurity>
  <Lines>1615</Lines>
  <Paragraphs>428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
  <LinksUpToDate>false</LinksUpToDate>
  <CharactersWithSpaces>91726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Undervisningsministeriet</dc:creator>
  <cp:lastModifiedBy>Henrik Lindegaard</cp:lastModifiedBy>
  <cp:revision>5</cp:revision>
  <dcterms:created xsi:type="dcterms:W3CDTF">2020-11-09T10:41:00Z</dcterms:created>
  <dcterms:modified xsi:type="dcterms:W3CDTF">2020-11-09T14:41:00Z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ContentRemapped">
    <vt:lpwstr>true</vt:lpwstr>
  </property>
  <property fmtid="{D5CDD505-2E9C-101B-9397-08002B2CF9AE}" pid="7" name="SD_DocumentLanguage">
    <vt:lpwstr>da-DK</vt:lpwstr>
  </property>
  <property fmtid="{D5CDD505-2E9C-101B-9397-08002B2CF9AE}" pid="8" name="sdDocumentDate">
    <vt:lpwstr>44084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Henrik Lindegaard</vt:lpwstr>
  </property>
  <property fmtid="{D5CDD505-2E9C-101B-9397-08002B2CF9AE}" pid="12" name="SD_UserprofileName">
    <vt:lpwstr>Henrik Lindegaard</vt:lpwstr>
  </property>
  <property fmtid="{D5CDD505-2E9C-101B-9397-08002B2CF9AE}" pid="13" name="SD_Office_SD_OFF_ID">
    <vt:lpwstr>1</vt:lpwstr>
  </property>
  <property fmtid="{D5CDD505-2E9C-101B-9397-08002B2CF9AE}" pid="14" name="CurrentOfficeID">
    <vt:lpwstr>1</vt:lpwstr>
  </property>
  <property fmtid="{D5CDD505-2E9C-101B-9397-08002B2CF9AE}" pid="15" name="SD_Office_SD_OFF_Display">
    <vt:lpwstr>DEPT FHK 21</vt:lpwstr>
  </property>
  <property fmtid="{D5CDD505-2E9C-101B-9397-08002B2CF9AE}" pid="16" name="SD_Office_SD_OFF_Myndighed">
    <vt:lpwstr>Departementet</vt:lpwstr>
  </property>
  <property fmtid="{D5CDD505-2E9C-101B-9397-08002B2CF9AE}" pid="17" name="SD_Office_SD_OFF_Myndighed_EN">
    <vt:lpwstr>The Department</vt:lpwstr>
  </property>
  <property fmtid="{D5CDD505-2E9C-101B-9397-08002B2CF9AE}" pid="18" name="SD_Office_SD_OFF_Address">
    <vt:lpwstr>Frederiksholms Kanal 21
1220 København K</vt:lpwstr>
  </property>
  <property fmtid="{D5CDD505-2E9C-101B-9397-08002B2CF9AE}" pid="19" name="SD_Office_SD_OFF_Address_EN">
    <vt:lpwstr>Frederiksholms Kanal 21
DK-1220 Copenhagen K</vt:lpwstr>
  </property>
  <property fmtid="{D5CDD505-2E9C-101B-9397-08002B2CF9AE}" pid="20" name="SD_Office_SD_OFF_Phone">
    <vt:lpwstr>32 92 50 00</vt:lpwstr>
  </property>
  <property fmtid="{D5CDD505-2E9C-101B-9397-08002B2CF9AE}" pid="21" name="SD_Office_SD_OFF_Phone_EN">
    <vt:lpwstr>+45 32 92 50 00</vt:lpwstr>
  </property>
  <property fmtid="{D5CDD505-2E9C-101B-9397-08002B2CF9AE}" pid="22" name="SD_Office_SD_OFF_Email">
    <vt:lpwstr>uvm@uvm.dk</vt:lpwstr>
  </property>
  <property fmtid="{D5CDD505-2E9C-101B-9397-08002B2CF9AE}" pid="23" name="SD_Office_SD_OFF_Web">
    <vt:lpwstr>www.uvm.dk</vt:lpwstr>
  </property>
  <property fmtid="{D5CDD505-2E9C-101B-9397-08002B2CF9AE}" pid="24" name="SD_Office_SD_OFF_CVR">
    <vt:lpwstr>20453044</vt:lpwstr>
  </property>
  <property fmtid="{D5CDD505-2E9C-101B-9397-08002B2CF9AE}" pid="25" name="SD_Office_SD_OFF_ArtworkDefinition">
    <vt:lpwstr>Logo;EmailLogo</vt:lpwstr>
  </property>
  <property fmtid="{D5CDD505-2E9C-101B-9397-08002B2CF9AE}" pid="26" name="SD_Office_SD_OFF_LogoName">
    <vt:lpwstr>Logo</vt:lpwstr>
  </property>
  <property fmtid="{D5CDD505-2E9C-101B-9397-08002B2CF9AE}" pid="27" name="LastCompletedArtworkDefinition">
    <vt:lpwstr>Logo</vt:lpwstr>
  </property>
  <property fmtid="{D5CDD505-2E9C-101B-9397-08002B2CF9AE}" pid="28" name="USR_Name">
    <vt:lpwstr>Henrik Lindegaard</vt:lpwstr>
  </property>
  <property fmtid="{D5CDD505-2E9C-101B-9397-08002B2CF9AE}" pid="29" name="USR_Initials">
    <vt:lpwstr/>
  </property>
  <property fmtid="{D5CDD505-2E9C-101B-9397-08002B2CF9AE}" pid="30" name="USR_Title">
    <vt:lpwstr>Chefkonsulent</vt:lpwstr>
  </property>
  <property fmtid="{D5CDD505-2E9C-101B-9397-08002B2CF9AE}" pid="31" name="USR_Undermyndighed">
    <vt:lpwstr>Afdelingen for Analyse og Rådgivning</vt:lpwstr>
  </property>
  <property fmtid="{D5CDD505-2E9C-101B-9397-08002B2CF9AE}" pid="32" name="USR_Kontor">
    <vt:lpwstr>Juridisk Kontor</vt:lpwstr>
  </property>
  <property fmtid="{D5CDD505-2E9C-101B-9397-08002B2CF9AE}" pid="33" name="USR_DirectPhone">
    <vt:lpwstr>+45 33 92 54 08</vt:lpwstr>
  </property>
  <property fmtid="{D5CDD505-2E9C-101B-9397-08002B2CF9AE}" pid="34" name="USR_Mobile">
    <vt:lpwstr/>
  </property>
  <property fmtid="{D5CDD505-2E9C-101B-9397-08002B2CF9AE}" pid="35" name="USR_Email">
    <vt:lpwstr>Henrik.Lindegaard@uvm.dk</vt:lpwstr>
  </property>
  <property fmtid="{D5CDD505-2E9C-101B-9397-08002B2CF9AE}" pid="36" name="DocumentInfoFinished">
    <vt:lpwstr>True</vt:lpwstr>
  </property>
  <property fmtid="{D5CDD505-2E9C-101B-9397-08002B2CF9AE}" pid="37" name="sipTrackRevision">
    <vt:lpwstr>false</vt:lpwstr>
  </property>
</Properties>
</file>